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2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40"/>
        <w:gridCol w:w="5025"/>
        <w:gridCol w:w="210"/>
        <w:gridCol w:w="750"/>
        <w:gridCol w:w="855"/>
        <w:tblGridChange w:id="0">
          <w:tblGrid>
            <w:gridCol w:w="1620"/>
            <w:gridCol w:w="1740"/>
            <w:gridCol w:w="5025"/>
            <w:gridCol w:w="210"/>
            <w:gridCol w:w="750"/>
            <w:gridCol w:w="8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of Guests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- January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Shawnna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Enrollment closed/enrollment date change, AQA update,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Parking/RV, Concessions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Dakota/Alexa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AGED 309 Students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Updates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All-Species Workshops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Confirm dates, guest speakers?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.5546874999999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Planning for Fair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        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Indoor Interview schedule, Cat Show, Sheep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Update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Barn Layout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Security dates/quote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Judges/Ultrasound Techs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Rabbit, Dairy Goat, Poultry, Dairy Cow Judges?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Market species ultrasound techs scheduled?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Processors/Trucking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Contracts, resale buyers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Awards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Signs &amp; Designs Banners, buckles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         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Punishments for leaving fair early?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Lone Peak quote, Champion Row planning, chairs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Save the 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Proposed changes from subcommittee meeting on 2/20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General Rules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Premium amounts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Round Robin tie-breaker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.351562500000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_____________________________ at the Gallatin County Extension Office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Record books due:  June 25, 2025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Interviews: July 10-11, 2025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2025 Fair Dates:  July 12-20, 2025   Market Sale: Friday, July 18, 2025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BD">
    <w:pPr>
      <w:pBdr>
        <w:bottom w:color="5b9bd5" w:space="4" w:sz="8" w:val="single"/>
      </w:pBdr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March 12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</w:t>
    </w:r>
    <w:r w:rsidDel="00000000" w:rsidR="00000000" w:rsidRPr="00000000">
      <w:rPr>
        <w:sz w:val="32"/>
        <w:szCs w:val="32"/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– </w:t>
    </w:r>
    <w:r w:rsidDel="00000000" w:rsidR="00000000" w:rsidRPr="00000000">
      <w:rPr>
        <w:sz w:val="32"/>
        <w:szCs w:val="32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64e9Hsye5wi9Tjzf+k587qpp/w==">CgMxLjA4AHIhMUJqaEJ2ZVJsMm5famk4YktILW1TclNPaHZaSUxmR0Nz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