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9814" w14:textId="5C996049" w:rsidR="00164524" w:rsidRDefault="00E71C6F">
      <w:r>
        <w:rPr>
          <w:noProof/>
        </w:rPr>
        <mc:AlternateContent>
          <mc:Choice Requires="wpg">
            <w:drawing>
              <wp:anchor distT="0" distB="0" distL="114300" distR="114300" simplePos="0" relativeHeight="251660288" behindDoc="0" locked="0" layoutInCell="1" allowOverlap="1" wp14:anchorId="0CCB992C" wp14:editId="533E8FEB">
                <wp:simplePos x="0" y="0"/>
                <wp:positionH relativeFrom="page">
                  <wp:posOffset>2499360</wp:posOffset>
                </wp:positionH>
                <wp:positionV relativeFrom="paragraph">
                  <wp:posOffset>76200</wp:posOffset>
                </wp:positionV>
                <wp:extent cx="2179320" cy="733425"/>
                <wp:effectExtent l="0" t="0" r="1143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733425"/>
                          <a:chOff x="3930" y="-57"/>
                          <a:chExt cx="3432" cy="1155"/>
                        </a:xfrm>
                      </wpg:grpSpPr>
                      <wpg:grpSp>
                        <wpg:cNvPr id="2" name="Group 4"/>
                        <wpg:cNvGrpSpPr>
                          <a:grpSpLocks/>
                        </wpg:cNvGrpSpPr>
                        <wpg:grpSpPr bwMode="auto">
                          <a:xfrm>
                            <a:off x="3930" y="-57"/>
                            <a:ext cx="3432" cy="1155"/>
                            <a:chOff x="3930" y="-57"/>
                            <a:chExt cx="3432" cy="1155"/>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014" y="-57"/>
                              <a:ext cx="3348"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992E" w14:textId="77777777" w:rsidR="00BC688C" w:rsidRDefault="00BC688C" w:rsidP="00BC688C">
                                <w:pPr>
                                  <w:spacing w:before="5"/>
                                  <w:rPr>
                                    <w:rFonts w:ascii="Calibri" w:eastAsia="Calibri" w:hAnsi="Calibri" w:cs="Calibri"/>
                                    <w:i/>
                                  </w:rPr>
                                </w:pPr>
                              </w:p>
                              <w:p w14:paraId="58B59540" w14:textId="77777777" w:rsidR="00E71C6F" w:rsidRDefault="00BC688C" w:rsidP="00E71C6F">
                                <w:pPr>
                                  <w:pStyle w:val="NoSpacing"/>
                                </w:pPr>
                                <w:r>
                                  <w:rPr>
                                    <w:spacing w:val="-2"/>
                                  </w:rPr>
                                  <w:t>Research</w:t>
                                </w:r>
                                <w:r>
                                  <w:t xml:space="preserve"> </w:t>
                                </w:r>
                                <w:r w:rsidR="00E71C6F">
                                  <w:t xml:space="preserve">Integrity </w:t>
                                </w:r>
                              </w:p>
                              <w:p w14:paraId="0CCB992F" w14:textId="22241DC3" w:rsidR="00BC688C" w:rsidRDefault="00E71C6F" w:rsidP="00E71C6F">
                                <w:pPr>
                                  <w:pStyle w:val="NoSpacing"/>
                                  <w:rPr>
                                    <w:rFonts w:eastAsia="Calibri" w:hAnsi="Calibri" w:cs="Calibri"/>
                                    <w:szCs w:val="24"/>
                                  </w:rPr>
                                </w:pPr>
                                <w:r>
                                  <w:t xml:space="preserve">&amp; </w:t>
                                </w:r>
                                <w:r w:rsidR="00BC688C">
                                  <w:t>Compliance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CB992C" id="Group 1" o:spid="_x0000_s1026" style="position:absolute;margin-left:196.8pt;margin-top:6pt;width:171.6pt;height:57.75pt;z-index:251660288;mso-position-horizontal-relative:page" coordorigin="3930,-57" coordsize="3432,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">
                <v:group id="Group 4" o:spid="_x0000_s1027" style="position:absolute;left:3930;top:-57;width:3432;height:1155" coordorigin="3930,-57" coordsize="343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7" o:spid="_x0000_s1030" type="#_x0000_t202" style="position:absolute;left:4014;top:-57;width:3348;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CCB992E" w14:textId="77777777" w:rsidR="00BC688C" w:rsidRDefault="00BC688C" w:rsidP="00BC688C">
                          <w:pPr>
                            <w:spacing w:before="5"/>
                            <w:rPr>
                              <w:rFonts w:ascii="Calibri" w:eastAsia="Calibri" w:hAnsi="Calibri" w:cs="Calibri"/>
                              <w:i/>
                            </w:rPr>
                          </w:pPr>
                        </w:p>
                        <w:p w14:paraId="58B59540" w14:textId="77777777" w:rsidR="00E71C6F" w:rsidRDefault="00BC688C" w:rsidP="00E71C6F">
                          <w:pPr>
                            <w:pStyle w:val="NoSpacing"/>
                          </w:pPr>
                          <w:r>
                            <w:rPr>
                              <w:spacing w:val="-2"/>
                            </w:rPr>
                            <w:t>Research</w:t>
                          </w:r>
                          <w:r>
                            <w:t xml:space="preserve"> </w:t>
                          </w:r>
                          <w:r w:rsidR="00E71C6F">
                            <w:t xml:space="preserve">Integrity </w:t>
                          </w:r>
                        </w:p>
                        <w:p w14:paraId="0CCB992F" w14:textId="22241DC3" w:rsidR="00BC688C" w:rsidRDefault="00E71C6F" w:rsidP="00E71C6F">
                          <w:pPr>
                            <w:pStyle w:val="NoSpacing"/>
                            <w:rPr>
                              <w:rFonts w:eastAsia="Calibri" w:hAnsi="Calibri" w:cs="Calibri"/>
                              <w:szCs w:val="24"/>
                            </w:rPr>
                          </w:pPr>
                          <w:r>
                            <w:t xml:space="preserve">&amp; </w:t>
                          </w:r>
                          <w:r w:rsidR="00BC688C">
                            <w:t>Compliance</w:t>
                          </w:r>
                        </w:p>
                      </w:txbxContent>
                    </v:textbox>
                  </v:shape>
                </v:group>
                <w10:wrap anchorx="page"/>
              </v:group>
            </w:pict>
          </mc:Fallback>
        </mc:AlternateContent>
      </w:r>
      <w:r w:rsidR="004A0030" w:rsidRPr="004A0030">
        <w:rPr>
          <w:noProof/>
          <w:sz w:val="52"/>
        </w:rPr>
        <mc:AlternateContent>
          <mc:Choice Requires="wps">
            <w:drawing>
              <wp:anchor distT="45720" distB="45720" distL="114300" distR="114300" simplePos="0" relativeHeight="251662336" behindDoc="0" locked="0" layoutInCell="1" allowOverlap="1" wp14:anchorId="144A353F" wp14:editId="3A2D9884">
                <wp:simplePos x="0" y="0"/>
                <wp:positionH relativeFrom="margin">
                  <wp:posOffset>4237990</wp:posOffset>
                </wp:positionH>
                <wp:positionV relativeFrom="paragraph">
                  <wp:posOffset>107315</wp:posOffset>
                </wp:positionV>
                <wp:extent cx="1685925" cy="794385"/>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94385"/>
                        </a:xfrm>
                        <a:prstGeom prst="rect">
                          <a:avLst/>
                        </a:prstGeom>
                        <a:solidFill>
                          <a:srgbClr val="FFFFFF"/>
                        </a:solidFill>
                        <a:ln w="9525">
                          <a:noFill/>
                          <a:miter lim="800000"/>
                          <a:headEnd/>
                          <a:tailEnd/>
                        </a:ln>
                      </wps:spPr>
                      <wps:txbx>
                        <w:txbxContent>
                          <w:p w14:paraId="176B8811" w14:textId="0E27C089" w:rsidR="004A0030" w:rsidRPr="00E71C6F" w:rsidRDefault="002405D1" w:rsidP="004A0030">
                            <w:pPr>
                              <w:pStyle w:val="NoSpacing"/>
                              <w:rPr>
                                <w:sz w:val="18"/>
                                <w:szCs w:val="18"/>
                              </w:rPr>
                            </w:pPr>
                            <w:r w:rsidRPr="00E71C6F">
                              <w:rPr>
                                <w:sz w:val="18"/>
                                <w:szCs w:val="18"/>
                              </w:rPr>
                              <w:t>101 Lewis</w:t>
                            </w:r>
                            <w:r w:rsidR="004A0030" w:rsidRPr="00E71C6F">
                              <w:rPr>
                                <w:sz w:val="18"/>
                                <w:szCs w:val="18"/>
                              </w:rPr>
                              <w:t xml:space="preserve"> Hall</w:t>
                            </w:r>
                          </w:p>
                          <w:p w14:paraId="38B94C9B" w14:textId="7770AF73" w:rsidR="004A0030" w:rsidRPr="00E71C6F" w:rsidRDefault="004A0030" w:rsidP="004A0030">
                            <w:pPr>
                              <w:pStyle w:val="NoSpacing"/>
                              <w:rPr>
                                <w:sz w:val="18"/>
                                <w:szCs w:val="18"/>
                              </w:rPr>
                            </w:pPr>
                            <w:r w:rsidRPr="00E71C6F">
                              <w:rPr>
                                <w:sz w:val="18"/>
                                <w:szCs w:val="18"/>
                              </w:rPr>
                              <w:t>Bozeman, MT 59717</w:t>
                            </w:r>
                          </w:p>
                          <w:p w14:paraId="3907C77D" w14:textId="26120DE8" w:rsidR="004A0030" w:rsidRPr="00E71C6F" w:rsidRDefault="004A0030" w:rsidP="004A0030">
                            <w:pPr>
                              <w:pStyle w:val="NoSpacing"/>
                              <w:rPr>
                                <w:sz w:val="18"/>
                                <w:szCs w:val="18"/>
                              </w:rPr>
                            </w:pPr>
                            <w:r w:rsidRPr="00E71C6F">
                              <w:rPr>
                                <w:sz w:val="18"/>
                                <w:szCs w:val="18"/>
                              </w:rPr>
                              <w:t>Ph: 406-994-</w:t>
                            </w:r>
                            <w:r w:rsidR="006F38B9" w:rsidRPr="00E71C6F">
                              <w:rPr>
                                <w:sz w:val="18"/>
                                <w:szCs w:val="18"/>
                              </w:rPr>
                              <w:t>6732</w:t>
                            </w:r>
                          </w:p>
                          <w:p w14:paraId="11DC4023" w14:textId="1DAC315C" w:rsidR="004A0030" w:rsidRPr="00E71C6F" w:rsidRDefault="002405D1" w:rsidP="004A0030">
                            <w:pPr>
                              <w:pStyle w:val="NoSpacing"/>
                              <w:rPr>
                                <w:sz w:val="18"/>
                                <w:szCs w:val="18"/>
                              </w:rPr>
                            </w:pPr>
                            <w:r w:rsidRPr="00E71C6F">
                              <w:rPr>
                                <w:sz w:val="18"/>
                                <w:szCs w:val="18"/>
                              </w:rPr>
                              <w:t>IBC Approval Date: 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A353F" id="Text Box 2" o:spid="_x0000_s1031" type="#_x0000_t202" style="position:absolute;margin-left:333.7pt;margin-top:8.45pt;width:132.75pt;height:62.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" stroked="f">
                <v:textbox>
                  <w:txbxContent>
                    <w:p w14:paraId="176B8811" w14:textId="0E27C089" w:rsidR="004A0030" w:rsidRPr="00E71C6F" w:rsidRDefault="002405D1" w:rsidP="004A0030">
                      <w:pPr>
                        <w:pStyle w:val="NoSpacing"/>
                        <w:rPr>
                          <w:sz w:val="18"/>
                          <w:szCs w:val="18"/>
                        </w:rPr>
                      </w:pPr>
                      <w:r w:rsidRPr="00E71C6F">
                        <w:rPr>
                          <w:sz w:val="18"/>
                          <w:szCs w:val="18"/>
                        </w:rPr>
                        <w:t>101 Lewis</w:t>
                      </w:r>
                      <w:r w:rsidR="004A0030" w:rsidRPr="00E71C6F">
                        <w:rPr>
                          <w:sz w:val="18"/>
                          <w:szCs w:val="18"/>
                        </w:rPr>
                        <w:t xml:space="preserve"> Hall</w:t>
                      </w:r>
                    </w:p>
                    <w:p w14:paraId="38B94C9B" w14:textId="7770AF73" w:rsidR="004A0030" w:rsidRPr="00E71C6F" w:rsidRDefault="004A0030" w:rsidP="004A0030">
                      <w:pPr>
                        <w:pStyle w:val="NoSpacing"/>
                        <w:rPr>
                          <w:sz w:val="18"/>
                          <w:szCs w:val="18"/>
                        </w:rPr>
                      </w:pPr>
                      <w:r w:rsidRPr="00E71C6F">
                        <w:rPr>
                          <w:sz w:val="18"/>
                          <w:szCs w:val="18"/>
                        </w:rPr>
                        <w:t>Bozeman, MT 59717</w:t>
                      </w:r>
                    </w:p>
                    <w:p w14:paraId="3907C77D" w14:textId="26120DE8" w:rsidR="004A0030" w:rsidRPr="00E71C6F" w:rsidRDefault="004A0030" w:rsidP="004A0030">
                      <w:pPr>
                        <w:pStyle w:val="NoSpacing"/>
                        <w:rPr>
                          <w:sz w:val="18"/>
                          <w:szCs w:val="18"/>
                        </w:rPr>
                      </w:pPr>
                      <w:r w:rsidRPr="00E71C6F">
                        <w:rPr>
                          <w:sz w:val="18"/>
                          <w:szCs w:val="18"/>
                        </w:rPr>
                        <w:t>Ph: 406-994-</w:t>
                      </w:r>
                      <w:r w:rsidR="006F38B9" w:rsidRPr="00E71C6F">
                        <w:rPr>
                          <w:sz w:val="18"/>
                          <w:szCs w:val="18"/>
                        </w:rPr>
                        <w:t>6732</w:t>
                      </w:r>
                    </w:p>
                    <w:p w14:paraId="11DC4023" w14:textId="1DAC315C" w:rsidR="004A0030" w:rsidRPr="00E71C6F" w:rsidRDefault="002405D1" w:rsidP="004A0030">
                      <w:pPr>
                        <w:pStyle w:val="NoSpacing"/>
                        <w:rPr>
                          <w:sz w:val="18"/>
                          <w:szCs w:val="18"/>
                        </w:rPr>
                      </w:pPr>
                      <w:r w:rsidRPr="00E71C6F">
                        <w:rPr>
                          <w:sz w:val="18"/>
                          <w:szCs w:val="18"/>
                        </w:rPr>
                        <w:t>IBC Approval Date: October 2024</w:t>
                      </w:r>
                    </w:p>
                  </w:txbxContent>
                </v:textbox>
                <w10:wrap type="square" anchorx="margin"/>
              </v:shape>
            </w:pict>
          </mc:Fallback>
        </mc:AlternateContent>
      </w:r>
      <w:r w:rsidR="00973CA1">
        <w:rPr>
          <w:noProof/>
        </w:rPr>
        <w:drawing>
          <wp:anchor distT="0" distB="0" distL="114300" distR="114300" simplePos="0" relativeHeight="251659264" behindDoc="0" locked="0" layoutInCell="1" allowOverlap="1" wp14:anchorId="0CCB992A" wp14:editId="030FC0D7">
            <wp:simplePos x="0" y="0"/>
            <wp:positionH relativeFrom="page">
              <wp:posOffset>410210</wp:posOffset>
            </wp:positionH>
            <wp:positionV relativeFrom="paragraph">
              <wp:posOffset>153035</wp:posOffset>
            </wp:positionV>
            <wp:extent cx="1990090" cy="6051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p>
    <w:p w14:paraId="1090DC3D" w14:textId="5E987FB8" w:rsidR="004A0030" w:rsidRDefault="004A0030" w:rsidP="00085D63">
      <w:pPr>
        <w:pStyle w:val="Title"/>
        <w:jc w:val="center"/>
        <w:rPr>
          <w:sz w:val="52"/>
        </w:rPr>
      </w:pPr>
    </w:p>
    <w:p w14:paraId="49DEE219" w14:textId="77777777" w:rsidR="004A0030" w:rsidRDefault="004A0030" w:rsidP="00085D63">
      <w:pPr>
        <w:pStyle w:val="Title"/>
        <w:jc w:val="center"/>
        <w:rPr>
          <w:sz w:val="52"/>
        </w:rPr>
      </w:pPr>
    </w:p>
    <w:p w14:paraId="0CCB9817" w14:textId="1FEB7DF6" w:rsidR="00BA67A1" w:rsidRPr="00607F8C" w:rsidRDefault="00A42CCC" w:rsidP="00607F8C">
      <w:pPr>
        <w:pStyle w:val="Title"/>
        <w:jc w:val="center"/>
        <w:rPr>
          <w:sz w:val="48"/>
        </w:rPr>
      </w:pPr>
      <w:r>
        <w:rPr>
          <w:sz w:val="52"/>
        </w:rPr>
        <w:t xml:space="preserve">Policy: Use of </w:t>
      </w:r>
      <w:r w:rsidR="00315A8C">
        <w:rPr>
          <w:sz w:val="52"/>
        </w:rPr>
        <w:t>Viral Vector</w:t>
      </w:r>
      <w:r>
        <w:rPr>
          <w:sz w:val="52"/>
        </w:rPr>
        <w:t xml:space="preserve">s </w:t>
      </w:r>
    </w:p>
    <w:p w14:paraId="0150058C" w14:textId="1F92F0B8" w:rsidR="007F17B8" w:rsidRDefault="00085D63" w:rsidP="00085D63">
      <w:pPr>
        <w:pStyle w:val="Heading1"/>
      </w:pPr>
      <w:r>
        <w:t>Introduction</w:t>
      </w:r>
    </w:p>
    <w:p w14:paraId="0CCB983B" w14:textId="2C706E6F" w:rsidR="00BC688C" w:rsidRDefault="00FF376C" w:rsidP="00432B02">
      <w:r>
        <w:t xml:space="preserve">Viral vectors are a fundamental tool for biological research. The National Institutes of Health (NIH) have published guidelines for the use of recombinant and synthetic nucleic acid molecules in research. Montana State University (MSU) aims to provide researchers with information to safety work with viral vectors. </w:t>
      </w:r>
      <w:r w:rsidR="00432B02">
        <w:t>Each vector system is listed with a suggested biological safety containment level. A higher-containment level may be required in specific cases. The biological safety containment level is ultimately determined by the Institutional Biosafety Committee (IBC) and/or Biological Safety Officer (BSO)</w:t>
      </w:r>
      <w:r w:rsidR="006F38B9">
        <w:t>.</w:t>
      </w:r>
    </w:p>
    <w:p w14:paraId="2A68535B" w14:textId="13965D43" w:rsidR="007E0FAE" w:rsidRDefault="007E0FAE" w:rsidP="007E0FAE">
      <w:pPr>
        <w:pStyle w:val="Heading1"/>
      </w:pPr>
      <w:r>
        <w:t>Scope</w:t>
      </w:r>
    </w:p>
    <w:p w14:paraId="025B47E4" w14:textId="3B776763" w:rsidR="003F6C7C" w:rsidRDefault="007E0FAE" w:rsidP="007E0FAE">
      <w:r>
        <w:t xml:space="preserve">This policy applies to Principal Investigators (PI), staff, students and animal care staff who perform </w:t>
      </w:r>
      <w:r w:rsidR="00A33FA7">
        <w:t xml:space="preserve">animal </w:t>
      </w:r>
      <w:r>
        <w:t xml:space="preserve">research </w:t>
      </w:r>
      <w:r w:rsidR="00615A97">
        <w:t xml:space="preserve">involving </w:t>
      </w:r>
      <w:r w:rsidR="00FF376C">
        <w:t>viral vectors</w:t>
      </w:r>
      <w:r w:rsidR="00615A97">
        <w:t>.</w:t>
      </w:r>
      <w:r w:rsidR="003F6C7C">
        <w:t xml:space="preserve"> </w:t>
      </w:r>
    </w:p>
    <w:p w14:paraId="0C0C56A5" w14:textId="41199928" w:rsidR="00432B02" w:rsidRDefault="00432B02" w:rsidP="00432B02">
      <w:pPr>
        <w:pStyle w:val="Heading1"/>
      </w:pPr>
      <w:r>
        <w:t>References</w:t>
      </w:r>
    </w:p>
    <w:p w14:paraId="4AE00B14" w14:textId="5DAA533A" w:rsidR="00432B02" w:rsidRDefault="00E71C6F" w:rsidP="00351AC3">
      <w:pPr>
        <w:pStyle w:val="NoSpacing"/>
        <w:numPr>
          <w:ilvl w:val="0"/>
          <w:numId w:val="9"/>
        </w:numPr>
      </w:pPr>
      <w:hyperlink r:id="rId10" w:history="1">
        <w:r w:rsidR="00432B02" w:rsidRPr="00432B02">
          <w:rPr>
            <w:rStyle w:val="Hyperlink"/>
          </w:rPr>
          <w:t>NIH Guidelines for Research Involving Recombinant or Synthetic Nucleic Acid Molecules (NIH Guidelines)</w:t>
        </w:r>
      </w:hyperlink>
    </w:p>
    <w:p w14:paraId="6A47C3BD" w14:textId="284C0802" w:rsidR="00A364AB" w:rsidRDefault="00A364AB" w:rsidP="00351AC3">
      <w:pPr>
        <w:pStyle w:val="NoSpacing"/>
        <w:numPr>
          <w:ilvl w:val="0"/>
          <w:numId w:val="9"/>
        </w:numPr>
      </w:pPr>
    </w:p>
    <w:p w14:paraId="5B14B334" w14:textId="07DBECB4" w:rsidR="00432B02" w:rsidRDefault="00034E5C" w:rsidP="00351AC3">
      <w:pPr>
        <w:pStyle w:val="NoSpacing"/>
        <w:numPr>
          <w:ilvl w:val="0"/>
          <w:numId w:val="9"/>
        </w:numPr>
      </w:pPr>
      <w:hyperlink r:id="rId11" w:history="1">
        <w:r w:rsidRPr="00034E5C">
          <w:rPr>
            <w:rStyle w:val="Hyperlink"/>
          </w:rPr>
          <w:t>Novel and Exceptional Technology and Research Advisory Committee</w:t>
        </w:r>
      </w:hyperlink>
    </w:p>
    <w:p w14:paraId="14C3F62A" w14:textId="42AEF2BC" w:rsidR="00432B02" w:rsidRDefault="00E71C6F" w:rsidP="00351AC3">
      <w:pPr>
        <w:pStyle w:val="NoSpacing"/>
        <w:numPr>
          <w:ilvl w:val="0"/>
          <w:numId w:val="9"/>
        </w:numPr>
      </w:pPr>
      <w:hyperlink r:id="rId12" w:history="1">
        <w:r w:rsidR="00432B02" w:rsidRPr="00432B02">
          <w:rPr>
            <w:rStyle w:val="Hyperlink"/>
          </w:rPr>
          <w:t>MSU Biosafety</w:t>
        </w:r>
      </w:hyperlink>
      <w:r w:rsidR="003D23B1">
        <w:rPr>
          <w:rStyle w:val="Hyperlink"/>
        </w:rPr>
        <w:t xml:space="preserve"> Program</w:t>
      </w:r>
    </w:p>
    <w:p w14:paraId="023ED42A" w14:textId="4883D8A2" w:rsidR="00432B02" w:rsidRDefault="00E71C6F" w:rsidP="00A364AB">
      <w:pPr>
        <w:pStyle w:val="Heading1"/>
      </w:pPr>
      <w:hyperlink r:id="rId13" w:history="1">
        <w:hyperlink r:id="rId14" w:history="1">
          <w:r w:rsidR="00034E5C" w:rsidRPr="00E71C6F">
            <w:rPr>
              <w:rStyle w:val="Hyperlink"/>
            </w:rPr>
            <w:t>MSU Institutional Biosafety Co</w:t>
          </w:r>
          <w:r w:rsidR="00034E5C" w:rsidRPr="00E71C6F">
            <w:rPr>
              <w:rStyle w:val="Hyperlink"/>
            </w:rPr>
            <w:t>m</w:t>
          </w:r>
          <w:r w:rsidR="00034E5C" w:rsidRPr="00E71C6F">
            <w:rPr>
              <w:rStyle w:val="Hyperlink"/>
            </w:rPr>
            <w:t>mittee</w:t>
          </w:r>
        </w:hyperlink>
        <w:r w:rsidRPr="00E71C6F">
          <w:rPr>
            <w:rStyle w:val="Hyperlink"/>
          </w:rPr>
          <w:t xml:space="preserve"> </w:t>
        </w:r>
        <w:r w:rsidR="00A364AB" w:rsidRPr="00E71C6F">
          <w:rPr>
            <w:rStyle w:val="Hyperlink"/>
          </w:rPr>
          <w:t>Policy</w:t>
        </w:r>
      </w:hyperlink>
    </w:p>
    <w:p w14:paraId="66855786" w14:textId="214C471F" w:rsidR="00A364AB" w:rsidRDefault="00A364AB" w:rsidP="003B06CF">
      <w:pPr>
        <w:pStyle w:val="NoSpacing"/>
      </w:pPr>
      <w:r>
        <w:t xml:space="preserve">All work involving </w:t>
      </w:r>
      <w:r w:rsidRPr="00A364AB">
        <w:t>Recombinant or Synthetic Nucleic Acid Molecules</w:t>
      </w:r>
      <w:r>
        <w:t xml:space="preserve"> and/or viral vectors must be approved by the MSU IBC. </w:t>
      </w:r>
      <w:r w:rsidR="003B06CF">
        <w:t xml:space="preserve">Because the University receives funding from NIH grants for research involving recombinant/synthetic nucleic acids, </w:t>
      </w:r>
      <w:r w:rsidR="00A33FA7">
        <w:t>all</w:t>
      </w:r>
      <w:r w:rsidR="003B06CF">
        <w:t xml:space="preserve"> research conducted at the University must comply with the NIH Guidelines and University policies.</w:t>
      </w:r>
      <w:r w:rsidR="0020424B">
        <w:t xml:space="preserve"> </w:t>
      </w:r>
    </w:p>
    <w:p w14:paraId="06512E3C" w14:textId="7367579C" w:rsidR="0020424B" w:rsidRDefault="0020424B" w:rsidP="003B06CF">
      <w:pPr>
        <w:pStyle w:val="NoSpacing"/>
      </w:pPr>
    </w:p>
    <w:p w14:paraId="5E98F521" w14:textId="32550735" w:rsidR="0020424B" w:rsidRDefault="0020424B" w:rsidP="003B06CF">
      <w:pPr>
        <w:pStyle w:val="NoSpacing"/>
      </w:pPr>
      <w:r>
        <w:t xml:space="preserve">The Biosafety Level (BSL) of a </w:t>
      </w:r>
      <w:proofErr w:type="gramStart"/>
      <w:r>
        <w:t>viral vector defaults</w:t>
      </w:r>
      <w:proofErr w:type="gramEnd"/>
      <w:r>
        <w:t xml:space="preserve"> to the Risk Group</w:t>
      </w:r>
      <w:r w:rsidR="00260B96">
        <w:t xml:space="preserve"> (RG)</w:t>
      </w:r>
      <w:r>
        <w:t xml:space="preserve"> of the wild type viral strain from which the vector and/or genes of interest are derived</w:t>
      </w:r>
      <w:r w:rsidR="00260B96">
        <w:t>, whichever is higher RG</w:t>
      </w:r>
      <w:r>
        <w:t xml:space="preserve">. </w:t>
      </w:r>
      <w:r w:rsidR="001D0A8A">
        <w:t xml:space="preserve">The Biosafety Level for replication incompetent viral vectors must be followed during preparation, during use in cell culture, and for the first 72 hours after inoculation into animals. </w:t>
      </w:r>
    </w:p>
    <w:p w14:paraId="2D58F267" w14:textId="485827B8" w:rsidR="001D0A8A" w:rsidRDefault="001D0A8A" w:rsidP="003B06CF">
      <w:pPr>
        <w:pStyle w:val="NoSpacing"/>
      </w:pPr>
    </w:p>
    <w:p w14:paraId="78F89090" w14:textId="63A030C8" w:rsidR="001D0A8A" w:rsidRDefault="001D0A8A" w:rsidP="003B06CF">
      <w:pPr>
        <w:pStyle w:val="NoSpacing"/>
      </w:pPr>
      <w:r>
        <w:t>See specific viral vector information below.</w:t>
      </w:r>
    </w:p>
    <w:p w14:paraId="7D3DB1DC" w14:textId="6CDEA824" w:rsidR="001D0A8A" w:rsidRDefault="00351AC3" w:rsidP="00351AC3">
      <w:pPr>
        <w:pStyle w:val="Heading1"/>
      </w:pPr>
      <w:r>
        <w:t>General Biosafety for All Viral Vectors</w:t>
      </w:r>
    </w:p>
    <w:p w14:paraId="34E550BC" w14:textId="6C15C33C" w:rsidR="00351AC3" w:rsidRPr="00351AC3" w:rsidRDefault="00493A61" w:rsidP="00351AC3">
      <w:pPr>
        <w:pStyle w:val="NoSpacing"/>
      </w:pPr>
      <w:r>
        <w:t xml:space="preserve">Assume all viral vectors are infectious. Wear all required PPE </w:t>
      </w:r>
      <w:r w:rsidR="00823640">
        <w:t xml:space="preserve">(e.g., </w:t>
      </w:r>
      <w:r>
        <w:t>disposable gloves, lab coat, and safety glasses</w:t>
      </w:r>
      <w:r w:rsidR="00823640">
        <w:t>)</w:t>
      </w:r>
      <w:r>
        <w:t xml:space="preserve">. </w:t>
      </w:r>
    </w:p>
    <w:p w14:paraId="3B1C8C1E" w14:textId="51383004" w:rsidR="001D0A8A" w:rsidRDefault="001D0A8A" w:rsidP="003B06CF">
      <w:pPr>
        <w:pStyle w:val="NoSpacing"/>
      </w:pPr>
    </w:p>
    <w:p w14:paraId="7396F07A" w14:textId="00946F29" w:rsidR="001D0A8A" w:rsidRDefault="001D0A8A" w:rsidP="003B06CF">
      <w:pPr>
        <w:pStyle w:val="NoSpacing"/>
      </w:pPr>
    </w:p>
    <w:p w14:paraId="59792EAA" w14:textId="1900277F" w:rsidR="001D0A8A" w:rsidRDefault="001D0A8A" w:rsidP="003B06CF">
      <w:pPr>
        <w:pStyle w:val="NoSpacing"/>
      </w:pPr>
    </w:p>
    <w:p w14:paraId="35F7FC1E" w14:textId="6EC9AB00" w:rsidR="001D0A8A" w:rsidRDefault="001D0A8A" w:rsidP="003B06CF">
      <w:pPr>
        <w:pStyle w:val="NoSpacing"/>
      </w:pPr>
    </w:p>
    <w:p w14:paraId="49B209EC" w14:textId="77777777" w:rsidR="00D10E83" w:rsidRDefault="00D10E83" w:rsidP="003B06CF">
      <w:pPr>
        <w:pStyle w:val="NoSpacing"/>
      </w:pPr>
    </w:p>
    <w:p w14:paraId="21AB447C" w14:textId="53A707FA" w:rsidR="001D0A8A" w:rsidRDefault="001D0A8A" w:rsidP="00FB73BF">
      <w:pPr>
        <w:pStyle w:val="Title"/>
      </w:pPr>
      <w:r>
        <w:lastRenderedPageBreak/>
        <w:t>Adenovirus Vectors</w:t>
      </w:r>
    </w:p>
    <w:p w14:paraId="49E9F5CF" w14:textId="58C396C2" w:rsidR="001D0A8A" w:rsidRDefault="001D0A8A" w:rsidP="001D0A8A">
      <w:pPr>
        <w:pStyle w:val="Heading2"/>
      </w:pPr>
      <w:r>
        <w:t>General Description</w:t>
      </w:r>
    </w:p>
    <w:p w14:paraId="456F2297" w14:textId="68D59985" w:rsidR="009F7256" w:rsidRDefault="00131C9E" w:rsidP="009F7256">
      <w:pPr>
        <w:pStyle w:val="NoSpacing"/>
      </w:pPr>
      <w:r>
        <w:t xml:space="preserve">Adenoviruses are linear, non-enveloped, icosahedral, double-stranded DNA viruses of approximately 36kb with a lytic infection cycle. There are 57 immunologically distinct types of </w:t>
      </w:r>
      <w:r w:rsidR="00C95F8D">
        <w:t>adenoviruses</w:t>
      </w:r>
      <w:r>
        <w:t xml:space="preserve"> that can cause human infection. Recombinant adenoviruses used for biomedical research are primarily based on Adenovirus 5. </w:t>
      </w:r>
    </w:p>
    <w:p w14:paraId="2BEEFF1A" w14:textId="77777777" w:rsidR="00034E5C" w:rsidRDefault="00034E5C" w:rsidP="009F7256">
      <w:pPr>
        <w:pStyle w:val="NoSpacing"/>
      </w:pPr>
    </w:p>
    <w:p w14:paraId="7201C9B5" w14:textId="77777777" w:rsidR="00034E5C" w:rsidRDefault="00131C9E" w:rsidP="009F7256">
      <w:pPr>
        <w:pStyle w:val="NoSpacing"/>
      </w:pPr>
      <w:r>
        <w:t xml:space="preserve">First generation adenoviral vectors result from the deletion of the E1 region. The 1st generation adenoviral vectors can be packaged using HEK293 or PER.C6 cell lines which stably express the viral E1A and E1B proteins. Second generation adenoviral vectors additional deletions of E2 and/or E4 function. Deletion of the adenoviral E3 gene accommodates increased transgene packaging (&gt;8 </w:t>
      </w:r>
      <w:proofErr w:type="spellStart"/>
      <w:r>
        <w:t>Kb</w:t>
      </w:r>
      <w:proofErr w:type="spellEnd"/>
      <w:r>
        <w:t>).</w:t>
      </w:r>
    </w:p>
    <w:p w14:paraId="627B6598" w14:textId="365B8B66" w:rsidR="001D0A8A" w:rsidRDefault="009F7256" w:rsidP="00221945">
      <w:pPr>
        <w:pStyle w:val="NoSpacing"/>
      </w:pPr>
      <w:r>
        <w:t>A</w:t>
      </w:r>
      <w:r w:rsidR="00131C9E">
        <w:t xml:space="preserve">denoviral transgenes reside </w:t>
      </w:r>
      <w:proofErr w:type="spellStart"/>
      <w:r w:rsidR="00131C9E">
        <w:t>episomally</w:t>
      </w:r>
      <w:proofErr w:type="spellEnd"/>
      <w:r w:rsidR="00131C9E">
        <w:t xml:space="preserve"> in the host nucleus. This mitigates the risk of insertional </w:t>
      </w:r>
      <w:r w:rsidR="00FB73BF">
        <w:t>mutagenesis but</w:t>
      </w:r>
      <w:r w:rsidR="00131C9E">
        <w:t xml:space="preserve"> results in transient transgene expression</w:t>
      </w:r>
      <w:r w:rsidR="00FB73BF">
        <w:t>.</w:t>
      </w:r>
    </w:p>
    <w:p w14:paraId="352A0A49" w14:textId="77777777" w:rsidR="00FB73BF" w:rsidRDefault="00FB73BF" w:rsidP="00221945">
      <w:pPr>
        <w:pStyle w:val="NoSpacing"/>
      </w:pPr>
    </w:p>
    <w:p w14:paraId="7D58E933" w14:textId="3A3BE540" w:rsidR="009F7256" w:rsidRDefault="00033E0B" w:rsidP="00033E0B">
      <w:pPr>
        <w:pStyle w:val="Heading2"/>
      </w:pPr>
      <w:r>
        <w:t>Potential Health Hazards</w:t>
      </w:r>
    </w:p>
    <w:p w14:paraId="2D5546BA" w14:textId="0F6EE810" w:rsidR="00221945" w:rsidRDefault="00221945" w:rsidP="00221945">
      <w:pPr>
        <w:pStyle w:val="NoSpacing"/>
      </w:pPr>
      <w:r>
        <w:t>Exposure to adenovirus can cause a wide range of symptoms including bronchitis (coughing, shortness of breath), sore throat, fever, diarrhea, and pink eye. Infections can be more severe in very young and</w:t>
      </w:r>
    </w:p>
    <w:p w14:paraId="3B871E6B" w14:textId="77777777" w:rsidR="00221945" w:rsidRDefault="00221945" w:rsidP="00221945">
      <w:pPr>
        <w:pStyle w:val="NoSpacing"/>
      </w:pPr>
      <w:r>
        <w:t>immunocompromised individuals. NOTE: Adenoviral vectors do not have to be replication competent to</w:t>
      </w:r>
    </w:p>
    <w:p w14:paraId="774537B3" w14:textId="21F554DC" w:rsidR="00351AC3" w:rsidRDefault="00221945" w:rsidP="00221945">
      <w:pPr>
        <w:pStyle w:val="NoSpacing"/>
      </w:pPr>
      <w:r>
        <w:t>cause corneal and conjunctival damage.</w:t>
      </w:r>
    </w:p>
    <w:p w14:paraId="5BC546D9" w14:textId="77777777" w:rsidR="00FB73BF" w:rsidRDefault="00FB73BF" w:rsidP="00221945">
      <w:pPr>
        <w:pStyle w:val="NoSpacing"/>
      </w:pPr>
    </w:p>
    <w:p w14:paraId="289C0D26" w14:textId="2BDCD23B" w:rsidR="00351AC3" w:rsidRDefault="00351AC3" w:rsidP="00351AC3">
      <w:pPr>
        <w:pStyle w:val="Heading2"/>
      </w:pPr>
      <w:r>
        <w:t>Biosafety Containment</w:t>
      </w:r>
    </w:p>
    <w:p w14:paraId="25C5F676" w14:textId="65DEFE1A" w:rsidR="00FB73BF" w:rsidRDefault="00FB73BF" w:rsidP="00FB73BF">
      <w:pPr>
        <w:pStyle w:val="NoSpacing"/>
        <w:numPr>
          <w:ilvl w:val="0"/>
          <w:numId w:val="11"/>
        </w:numPr>
      </w:pPr>
      <w:r>
        <w:t xml:space="preserve">BSL-2/ABSL2 for all activities with materials and cultures known or reasonably expected to contain adenoviral vectors and for activities for experimentally infecting animals. </w:t>
      </w:r>
    </w:p>
    <w:p w14:paraId="6F4E97E8" w14:textId="0F390FA1" w:rsidR="00FB73BF" w:rsidRDefault="00FB73BF" w:rsidP="00FB73BF">
      <w:pPr>
        <w:pStyle w:val="NoSpacing"/>
        <w:numPr>
          <w:ilvl w:val="0"/>
          <w:numId w:val="10"/>
        </w:numPr>
      </w:pPr>
      <w:r>
        <w:t xml:space="preserve">Adenovirus must be administered to animals at ABSL-2. After infection, animals must be housed at ABSL-2 for 72 hours. After 72 hours animals may be moved to ABSL-1, however the IBC may raise containment if deemed necessary. </w:t>
      </w:r>
    </w:p>
    <w:p w14:paraId="1B195820" w14:textId="77777777" w:rsidR="00FB73BF" w:rsidRDefault="00FB73BF" w:rsidP="00FB73BF">
      <w:pPr>
        <w:pStyle w:val="NoSpacing"/>
        <w:ind w:left="720"/>
      </w:pPr>
    </w:p>
    <w:p w14:paraId="79FF33B9" w14:textId="4E7039F7" w:rsidR="00FB73BF" w:rsidRPr="00FB73BF" w:rsidRDefault="00FB73BF" w:rsidP="00FB73BF">
      <w:pPr>
        <w:pStyle w:val="Heading2"/>
      </w:pPr>
      <w:r>
        <w:t>Decontamination</w:t>
      </w:r>
    </w:p>
    <w:p w14:paraId="33F74E08" w14:textId="426C9903" w:rsidR="00FB73BF" w:rsidRDefault="00FB73BF" w:rsidP="003A01F2">
      <w:pPr>
        <w:pStyle w:val="NoSpacing"/>
        <w:numPr>
          <w:ilvl w:val="0"/>
          <w:numId w:val="10"/>
        </w:numPr>
      </w:pPr>
      <w:r>
        <w:t xml:space="preserve">Animal cages/bedding </w:t>
      </w:r>
      <w:r w:rsidRPr="00FB73BF">
        <w:t>from the first cage change and any additional cage changes taking place in the first 72 hours post vector administration must be disposed of as biohazardous waste.</w:t>
      </w:r>
    </w:p>
    <w:p w14:paraId="7DA67787" w14:textId="3B490F7A" w:rsidR="00FB73BF" w:rsidRDefault="00FB73BF" w:rsidP="003A01F2">
      <w:pPr>
        <w:pStyle w:val="NoSpacing"/>
        <w:numPr>
          <w:ilvl w:val="0"/>
          <w:numId w:val="10"/>
        </w:numPr>
      </w:pPr>
      <w:r>
        <w:t>Adenovirus is susceptible to:</w:t>
      </w:r>
    </w:p>
    <w:p w14:paraId="7CE38067" w14:textId="776A6E64" w:rsidR="00FB73BF" w:rsidRDefault="00FB73BF" w:rsidP="00FB73BF">
      <w:pPr>
        <w:pStyle w:val="NoSpacing"/>
        <w:numPr>
          <w:ilvl w:val="1"/>
          <w:numId w:val="10"/>
        </w:numPr>
      </w:pPr>
      <w:r>
        <w:t xml:space="preserve">0.5% sodium hypochlorite (1:10 house hold </w:t>
      </w:r>
      <w:proofErr w:type="spellStart"/>
      <w:proofErr w:type="gramStart"/>
      <w:r>
        <w:t>bleach:water</w:t>
      </w:r>
      <w:proofErr w:type="spellEnd"/>
      <w:proofErr w:type="gramEnd"/>
      <w:r>
        <w:t>), 2% glutaraldehyde, 5% phenol; accelerated hydrogen peroxide (e.g., Rescue)</w:t>
      </w:r>
    </w:p>
    <w:p w14:paraId="1569FBDB" w14:textId="21C7CB89" w:rsidR="00FB73BF" w:rsidRDefault="00FB73BF" w:rsidP="00FB73BF">
      <w:pPr>
        <w:pStyle w:val="NoSpacing"/>
        <w:numPr>
          <w:ilvl w:val="1"/>
          <w:numId w:val="10"/>
        </w:numPr>
      </w:pPr>
      <w:r>
        <w:t xml:space="preserve">Autoclave for </w:t>
      </w:r>
      <w:r w:rsidR="00F43A76">
        <w:t>6</w:t>
      </w:r>
      <w:r>
        <w:t>0 minutes at 121°C</w:t>
      </w:r>
    </w:p>
    <w:p w14:paraId="53CE8367" w14:textId="2CE81416" w:rsidR="00FB73BF" w:rsidRDefault="00FB73BF" w:rsidP="00FB73BF">
      <w:pPr>
        <w:pStyle w:val="NoSpacing"/>
        <w:numPr>
          <w:ilvl w:val="0"/>
          <w:numId w:val="10"/>
        </w:numPr>
      </w:pPr>
      <w:r>
        <w:t>Adenovirus is not susceptible to:</w:t>
      </w:r>
    </w:p>
    <w:p w14:paraId="5E5748DC" w14:textId="365685CA" w:rsidR="00FB73BF" w:rsidRDefault="00FB73BF" w:rsidP="00FB73BF">
      <w:pPr>
        <w:pStyle w:val="NoSpacing"/>
        <w:numPr>
          <w:ilvl w:val="1"/>
          <w:numId w:val="10"/>
        </w:numPr>
      </w:pPr>
      <w:r>
        <w:t>Alcohol disinfectants</w:t>
      </w:r>
    </w:p>
    <w:p w14:paraId="305758C5" w14:textId="77777777" w:rsidR="00FB73BF" w:rsidRDefault="00FB73BF" w:rsidP="00FB73BF">
      <w:pPr>
        <w:pStyle w:val="NoSpacing"/>
        <w:ind w:left="1440"/>
      </w:pPr>
    </w:p>
    <w:p w14:paraId="035A7E81" w14:textId="73DE1624" w:rsidR="00FB73BF" w:rsidRDefault="00FB73BF" w:rsidP="00FB73BF">
      <w:pPr>
        <w:pStyle w:val="Heading2"/>
      </w:pPr>
      <w:r>
        <w:t>Additional Information</w:t>
      </w:r>
    </w:p>
    <w:p w14:paraId="2A04587E" w14:textId="6149D367" w:rsidR="00FB73BF" w:rsidRDefault="002405D1" w:rsidP="00185F04">
      <w:pPr>
        <w:pStyle w:val="NoSpacing"/>
        <w:numPr>
          <w:ilvl w:val="0"/>
          <w:numId w:val="14"/>
        </w:numPr>
      </w:pPr>
      <w:hyperlink r:id="rId15" w:history="1">
        <w:r w:rsidR="00FB73BF" w:rsidRPr="00FB73BF">
          <w:rPr>
            <w:rStyle w:val="Hyperlink"/>
          </w:rPr>
          <w:t xml:space="preserve">MSU </w:t>
        </w:r>
        <w:r w:rsidR="00034E5C">
          <w:rPr>
            <w:rStyle w:val="Hyperlink"/>
          </w:rPr>
          <w:t xml:space="preserve">Adenovirus </w:t>
        </w:r>
        <w:r w:rsidR="00FB73BF" w:rsidRPr="00FB73BF">
          <w:rPr>
            <w:rStyle w:val="Hyperlink"/>
          </w:rPr>
          <w:t>PSDS</w:t>
        </w:r>
      </w:hyperlink>
    </w:p>
    <w:p w14:paraId="6CD2CC7F" w14:textId="6535B035" w:rsidR="00EA2DFD" w:rsidRDefault="00EA2DFD" w:rsidP="00FB73BF">
      <w:pPr>
        <w:pStyle w:val="NoSpacing"/>
      </w:pPr>
    </w:p>
    <w:p w14:paraId="57B5D970" w14:textId="76638503" w:rsidR="00185F04" w:rsidRDefault="00185F04" w:rsidP="00FB73BF">
      <w:pPr>
        <w:pStyle w:val="NoSpacing"/>
      </w:pPr>
    </w:p>
    <w:p w14:paraId="62F2B06F" w14:textId="13678558" w:rsidR="00185F04" w:rsidRDefault="00185F04" w:rsidP="00FB73BF">
      <w:pPr>
        <w:pStyle w:val="NoSpacing"/>
      </w:pPr>
    </w:p>
    <w:p w14:paraId="05732D7B" w14:textId="6C7FD7EE" w:rsidR="00185F04" w:rsidRDefault="00185F04" w:rsidP="00FB73BF">
      <w:pPr>
        <w:pStyle w:val="NoSpacing"/>
      </w:pPr>
    </w:p>
    <w:p w14:paraId="7F8BC6A2" w14:textId="30503AC0" w:rsidR="004B7954" w:rsidRDefault="004B7954" w:rsidP="00FB73BF">
      <w:pPr>
        <w:pStyle w:val="NoSpacing"/>
      </w:pPr>
    </w:p>
    <w:p w14:paraId="10EAA202" w14:textId="1455DA6E" w:rsidR="004B7954" w:rsidRDefault="004B7954" w:rsidP="00FB73BF">
      <w:pPr>
        <w:pStyle w:val="NoSpacing"/>
      </w:pPr>
    </w:p>
    <w:p w14:paraId="3CA96E2D" w14:textId="4AF48160" w:rsidR="004B7954" w:rsidRDefault="004B7954" w:rsidP="00FB73BF">
      <w:pPr>
        <w:pStyle w:val="NoSpacing"/>
      </w:pPr>
    </w:p>
    <w:p w14:paraId="21140F3A" w14:textId="77777777" w:rsidR="004B7954" w:rsidRDefault="004B7954" w:rsidP="00FB73BF">
      <w:pPr>
        <w:pStyle w:val="NoSpacing"/>
      </w:pPr>
    </w:p>
    <w:p w14:paraId="767A6C8C" w14:textId="77777777" w:rsidR="00185F04" w:rsidRDefault="00185F04" w:rsidP="00FB73BF">
      <w:pPr>
        <w:pStyle w:val="NoSpacing"/>
      </w:pPr>
    </w:p>
    <w:p w14:paraId="6DFC2310" w14:textId="1569AE43" w:rsidR="00EA2DFD" w:rsidRDefault="00EA2DFD" w:rsidP="00EA2DFD">
      <w:pPr>
        <w:pStyle w:val="Title"/>
      </w:pPr>
      <w:r>
        <w:lastRenderedPageBreak/>
        <w:t>Adeno-Associated Virus (AAV) Vectors</w:t>
      </w:r>
    </w:p>
    <w:p w14:paraId="7CDA119F" w14:textId="77777777" w:rsidR="00EA2DFD" w:rsidRDefault="00EA2DFD" w:rsidP="00EA2DFD">
      <w:pPr>
        <w:pStyle w:val="Heading2"/>
      </w:pPr>
      <w:r>
        <w:t>General Description</w:t>
      </w:r>
    </w:p>
    <w:p w14:paraId="54A574F8" w14:textId="7B42DD81" w:rsidR="00EA2DFD" w:rsidRDefault="00493A61" w:rsidP="00493A61">
      <w:pPr>
        <w:pStyle w:val="NoSpacing"/>
      </w:pPr>
      <w:r>
        <w:t xml:space="preserve">Adeno-associated viruses </w:t>
      </w:r>
      <w:r w:rsidR="00D60F10">
        <w:t xml:space="preserve">(AAV) </w:t>
      </w:r>
      <w:r>
        <w:t>are small, non-enveloped viruses with single-stranded linear DNA. They are</w:t>
      </w:r>
      <w:r w:rsidR="00D60F10">
        <w:t xml:space="preserve"> </w:t>
      </w:r>
      <w:r>
        <w:t xml:space="preserve">members of the </w:t>
      </w:r>
      <w:proofErr w:type="spellStart"/>
      <w:r>
        <w:t>Parvoviridae</w:t>
      </w:r>
      <w:proofErr w:type="spellEnd"/>
      <w:r>
        <w:t xml:space="preserve"> family and there are 12 serotypes. </w:t>
      </w:r>
      <w:r w:rsidR="00D60F10">
        <w:t xml:space="preserve">AAV get their name because they are found in cells that are simultaneously infected with adenovirus. AAV is dependent on the presence of a helper virus to replicate, generally an adenovirus or herpes virus. In the absence of a helper virus, AAV will stably integrate into the host genome. </w:t>
      </w:r>
      <w:r>
        <w:t xml:space="preserve">Of the </w:t>
      </w:r>
      <w:proofErr w:type="gramStart"/>
      <w:r>
        <w:t>most commonly used</w:t>
      </w:r>
      <w:proofErr w:type="gramEnd"/>
      <w:r>
        <w:t xml:space="preserve"> viral vectors in research, AAV are some of the smallest (</w:t>
      </w:r>
      <w:r w:rsidR="00ED61A7">
        <w:t>&lt;</w:t>
      </w:r>
      <w:r>
        <w:t xml:space="preserve">4.8 </w:t>
      </w:r>
      <w:proofErr w:type="spellStart"/>
      <w:r>
        <w:t>Kb</w:t>
      </w:r>
      <w:proofErr w:type="spellEnd"/>
      <w:r>
        <w:t>) with small packaging capacities. AAV vectors are non-pathogenic and can infect dividing and nondividing (quiescent) cells making them preferred viral vectors for many applications.</w:t>
      </w:r>
    </w:p>
    <w:p w14:paraId="6A852F80" w14:textId="77777777" w:rsidR="00EA2DFD" w:rsidRDefault="00EA2DFD" w:rsidP="00EA2DFD">
      <w:pPr>
        <w:pStyle w:val="NoSpacing"/>
      </w:pPr>
    </w:p>
    <w:p w14:paraId="127C2070" w14:textId="77777777" w:rsidR="00EA2DFD" w:rsidRDefault="00EA2DFD" w:rsidP="00EA2DFD">
      <w:pPr>
        <w:pStyle w:val="Heading2"/>
      </w:pPr>
      <w:r>
        <w:t>Potential Health Hazards</w:t>
      </w:r>
    </w:p>
    <w:p w14:paraId="27BFD6D2" w14:textId="3C57E1A9" w:rsidR="00EA2DFD" w:rsidRDefault="0008061A" w:rsidP="00EA2DFD">
      <w:pPr>
        <w:pStyle w:val="NoSpacing"/>
      </w:pPr>
      <w:r>
        <w:t>There are n</w:t>
      </w:r>
      <w:r w:rsidR="00CF0A8A">
        <w:t>o known health hazards for wild type AAV. Insertional mutagenesis is theoretically possible due to wild type AAV ability to integrated into the human genome</w:t>
      </w:r>
      <w:r w:rsidR="003C0E39">
        <w:t>.</w:t>
      </w:r>
    </w:p>
    <w:p w14:paraId="05A0EE31" w14:textId="77777777" w:rsidR="00EA2DFD" w:rsidRDefault="00EA2DFD" w:rsidP="00EA2DFD">
      <w:pPr>
        <w:pStyle w:val="NoSpacing"/>
      </w:pPr>
    </w:p>
    <w:p w14:paraId="09DE6E40" w14:textId="77777777" w:rsidR="00EA2DFD" w:rsidRDefault="00EA2DFD" w:rsidP="00EA2DFD">
      <w:pPr>
        <w:pStyle w:val="Heading2"/>
      </w:pPr>
      <w:r>
        <w:t>Biosafety Containment</w:t>
      </w:r>
    </w:p>
    <w:p w14:paraId="63EFBAAC" w14:textId="263331F3" w:rsidR="005E77DC" w:rsidRDefault="005E77DC" w:rsidP="00EA2DFD">
      <w:pPr>
        <w:pStyle w:val="NoSpacing"/>
        <w:numPr>
          <w:ilvl w:val="0"/>
          <w:numId w:val="11"/>
        </w:numPr>
      </w:pPr>
      <w:r>
        <w:t>BSL-2 for construction/packaging of AAV in human cell lines.</w:t>
      </w:r>
    </w:p>
    <w:p w14:paraId="48156864" w14:textId="79AFAF94" w:rsidR="00EA2DFD" w:rsidRDefault="00EA2DFD" w:rsidP="00EA2DFD">
      <w:pPr>
        <w:pStyle w:val="NoSpacing"/>
        <w:numPr>
          <w:ilvl w:val="0"/>
          <w:numId w:val="11"/>
        </w:numPr>
      </w:pPr>
      <w:r>
        <w:t xml:space="preserve">BSL-2/ABSL2 for all activities with materials and cultures </w:t>
      </w:r>
      <w:r w:rsidR="00371BDD">
        <w:t xml:space="preserve">if in the presence of a helper virus, or if </w:t>
      </w:r>
      <w:r w:rsidR="0033103B">
        <w:t xml:space="preserve">inserted </w:t>
      </w:r>
      <w:r w:rsidR="00371BDD">
        <w:t>genes code for an oncogene or toxin.</w:t>
      </w:r>
      <w:r>
        <w:t xml:space="preserve"> </w:t>
      </w:r>
    </w:p>
    <w:p w14:paraId="7852A67B" w14:textId="2665EBD9" w:rsidR="00EA2DFD" w:rsidRDefault="00EA2DFD" w:rsidP="00EA2DFD">
      <w:pPr>
        <w:pStyle w:val="NoSpacing"/>
        <w:numPr>
          <w:ilvl w:val="0"/>
          <w:numId w:val="10"/>
        </w:numPr>
      </w:pPr>
      <w:r>
        <w:t>A</w:t>
      </w:r>
      <w:r w:rsidR="0033103B">
        <w:t xml:space="preserve">AV vectors </w:t>
      </w:r>
      <w:r>
        <w:t>m</w:t>
      </w:r>
      <w:r w:rsidR="0033103B">
        <w:t>ay</w:t>
      </w:r>
      <w:r>
        <w:t xml:space="preserve"> be administered to animals at ABSL-</w:t>
      </w:r>
      <w:r w:rsidR="0089664C">
        <w:t>1 if no</w:t>
      </w:r>
      <w:r w:rsidR="0033103B">
        <w:t xml:space="preserve"> oncogene, toxin, or</w:t>
      </w:r>
      <w:r w:rsidR="0089664C">
        <w:t xml:space="preserve"> helper virus is present</w:t>
      </w:r>
      <w:r>
        <w:t xml:space="preserve">. </w:t>
      </w:r>
      <w:r w:rsidR="0033103B">
        <w:t>T</w:t>
      </w:r>
      <w:r>
        <w:t xml:space="preserve">he IBC may raise containment if deemed necessary. </w:t>
      </w:r>
    </w:p>
    <w:p w14:paraId="15C9BAF1" w14:textId="77777777" w:rsidR="00EA2DFD" w:rsidRDefault="00EA2DFD" w:rsidP="00EA2DFD">
      <w:pPr>
        <w:pStyle w:val="NoSpacing"/>
        <w:ind w:left="720"/>
      </w:pPr>
    </w:p>
    <w:p w14:paraId="77156592" w14:textId="77777777" w:rsidR="00EA2DFD" w:rsidRPr="00FB73BF" w:rsidRDefault="00EA2DFD" w:rsidP="00EA2DFD">
      <w:pPr>
        <w:pStyle w:val="Heading2"/>
      </w:pPr>
      <w:r>
        <w:t>Decontamination</w:t>
      </w:r>
    </w:p>
    <w:p w14:paraId="4A4E88A7" w14:textId="77777777" w:rsidR="00EA2DFD" w:rsidRDefault="00EA2DFD" w:rsidP="00EA2DFD">
      <w:pPr>
        <w:pStyle w:val="NoSpacing"/>
        <w:numPr>
          <w:ilvl w:val="0"/>
          <w:numId w:val="10"/>
        </w:numPr>
      </w:pPr>
      <w:r>
        <w:t xml:space="preserve">Animal cages/bedding </w:t>
      </w:r>
      <w:r w:rsidRPr="00FB73BF">
        <w:t>from the first cage change and any additional cage changes taking place in the first 72 hours post vector administration must be disposed of as biohazardous waste.</w:t>
      </w:r>
    </w:p>
    <w:p w14:paraId="41DD49A2" w14:textId="523A0A17" w:rsidR="00EA2DFD" w:rsidRDefault="00EA2DFD" w:rsidP="00EA2DFD">
      <w:pPr>
        <w:pStyle w:val="NoSpacing"/>
        <w:numPr>
          <w:ilvl w:val="0"/>
          <w:numId w:val="10"/>
        </w:numPr>
      </w:pPr>
      <w:r>
        <w:t>A</w:t>
      </w:r>
      <w:r w:rsidR="007E7D25">
        <w:t>AV</w:t>
      </w:r>
      <w:r>
        <w:t xml:space="preserve"> is susceptible to:</w:t>
      </w:r>
    </w:p>
    <w:p w14:paraId="615E92F5" w14:textId="3E0FF9BC" w:rsidR="00EA2DFD" w:rsidRDefault="00EA2DFD" w:rsidP="00EA2DFD">
      <w:pPr>
        <w:pStyle w:val="NoSpacing"/>
        <w:numPr>
          <w:ilvl w:val="1"/>
          <w:numId w:val="10"/>
        </w:numPr>
      </w:pPr>
      <w:r>
        <w:t xml:space="preserve">0.5% sodium hypochlorite (1:10 house hold </w:t>
      </w:r>
      <w:proofErr w:type="spellStart"/>
      <w:proofErr w:type="gramStart"/>
      <w:r>
        <w:t>bleach:water</w:t>
      </w:r>
      <w:proofErr w:type="spellEnd"/>
      <w:proofErr w:type="gramEnd"/>
      <w:r>
        <w:t>), 2% glutaraldehyde, 5% phenol</w:t>
      </w:r>
    </w:p>
    <w:p w14:paraId="0438A94F" w14:textId="08D7FE98" w:rsidR="00EA2DFD" w:rsidRDefault="00EA2DFD" w:rsidP="00EA2DFD">
      <w:pPr>
        <w:pStyle w:val="NoSpacing"/>
        <w:numPr>
          <w:ilvl w:val="1"/>
          <w:numId w:val="10"/>
        </w:numPr>
      </w:pPr>
      <w:r>
        <w:t xml:space="preserve">Autoclave for </w:t>
      </w:r>
      <w:r w:rsidR="00F43A76">
        <w:t>6</w:t>
      </w:r>
      <w:r>
        <w:t>0 minutes at 121°C</w:t>
      </w:r>
    </w:p>
    <w:p w14:paraId="0CC3E92F" w14:textId="77E17328" w:rsidR="00EA2DFD" w:rsidRDefault="00EA2DFD" w:rsidP="00EA2DFD">
      <w:pPr>
        <w:pStyle w:val="NoSpacing"/>
        <w:numPr>
          <w:ilvl w:val="0"/>
          <w:numId w:val="10"/>
        </w:numPr>
      </w:pPr>
      <w:r>
        <w:t>A</w:t>
      </w:r>
      <w:r w:rsidR="009A02B7">
        <w:t>AV</w:t>
      </w:r>
      <w:r>
        <w:t xml:space="preserve"> is not susceptible to:</w:t>
      </w:r>
    </w:p>
    <w:p w14:paraId="52D56D5D" w14:textId="77777777" w:rsidR="00EA2DFD" w:rsidRDefault="00EA2DFD" w:rsidP="00EA2DFD">
      <w:pPr>
        <w:pStyle w:val="NoSpacing"/>
        <w:numPr>
          <w:ilvl w:val="1"/>
          <w:numId w:val="10"/>
        </w:numPr>
      </w:pPr>
      <w:r>
        <w:t>Alcohol disinfectants</w:t>
      </w:r>
    </w:p>
    <w:p w14:paraId="60D178F3" w14:textId="77777777" w:rsidR="00EA2DFD" w:rsidRDefault="00EA2DFD" w:rsidP="00EA2DFD">
      <w:pPr>
        <w:pStyle w:val="NoSpacing"/>
        <w:ind w:left="1440"/>
      </w:pPr>
    </w:p>
    <w:p w14:paraId="67F43189" w14:textId="1998E543" w:rsidR="00FB73BF" w:rsidRDefault="00FB73BF" w:rsidP="004B7954">
      <w:pPr>
        <w:pStyle w:val="NoSpacing"/>
      </w:pPr>
    </w:p>
    <w:p w14:paraId="199FEFDE" w14:textId="27C1D7CA" w:rsidR="004B7954" w:rsidRDefault="004B7954" w:rsidP="004B7954">
      <w:pPr>
        <w:pStyle w:val="NoSpacing"/>
      </w:pPr>
    </w:p>
    <w:p w14:paraId="52802671" w14:textId="194F9086" w:rsidR="004B7954" w:rsidRDefault="004B7954" w:rsidP="004B7954">
      <w:pPr>
        <w:pStyle w:val="NoSpacing"/>
      </w:pPr>
    </w:p>
    <w:p w14:paraId="1C68257F" w14:textId="6273312E" w:rsidR="004B7954" w:rsidRDefault="004B7954" w:rsidP="004B7954">
      <w:pPr>
        <w:pStyle w:val="NoSpacing"/>
      </w:pPr>
    </w:p>
    <w:p w14:paraId="7832ACD1" w14:textId="4B1CB879" w:rsidR="004B7954" w:rsidRDefault="004B7954" w:rsidP="004B7954">
      <w:pPr>
        <w:pStyle w:val="NoSpacing"/>
      </w:pPr>
    </w:p>
    <w:p w14:paraId="27DDDF30" w14:textId="05C7F721" w:rsidR="004B7954" w:rsidRDefault="004B7954" w:rsidP="004B7954">
      <w:pPr>
        <w:pStyle w:val="NoSpacing"/>
      </w:pPr>
    </w:p>
    <w:p w14:paraId="6360536D" w14:textId="016D5D69" w:rsidR="004B7954" w:rsidRDefault="004B7954" w:rsidP="004B7954">
      <w:pPr>
        <w:pStyle w:val="NoSpacing"/>
      </w:pPr>
    </w:p>
    <w:p w14:paraId="5BA52C55" w14:textId="6AA292A4" w:rsidR="004B7954" w:rsidRDefault="004B7954" w:rsidP="004B7954">
      <w:pPr>
        <w:pStyle w:val="NoSpacing"/>
      </w:pPr>
    </w:p>
    <w:p w14:paraId="79E09A1B" w14:textId="3884F9AA" w:rsidR="004B7954" w:rsidRDefault="004B7954" w:rsidP="004B7954">
      <w:pPr>
        <w:pStyle w:val="NoSpacing"/>
      </w:pPr>
    </w:p>
    <w:p w14:paraId="606AD256" w14:textId="7D141670" w:rsidR="004B7954" w:rsidRDefault="004B7954" w:rsidP="004B7954">
      <w:pPr>
        <w:pStyle w:val="NoSpacing"/>
      </w:pPr>
    </w:p>
    <w:p w14:paraId="06ADC7CB" w14:textId="53D66906" w:rsidR="004B7954" w:rsidRDefault="004B7954" w:rsidP="004B7954">
      <w:pPr>
        <w:pStyle w:val="NoSpacing"/>
      </w:pPr>
    </w:p>
    <w:p w14:paraId="6387E072" w14:textId="6EBA6A60" w:rsidR="004B7954" w:rsidRDefault="004B7954" w:rsidP="004B7954">
      <w:pPr>
        <w:pStyle w:val="NoSpacing"/>
      </w:pPr>
    </w:p>
    <w:p w14:paraId="008FD379" w14:textId="28B08055" w:rsidR="004B7954" w:rsidRDefault="004B7954" w:rsidP="004B7954">
      <w:pPr>
        <w:pStyle w:val="NoSpacing"/>
      </w:pPr>
    </w:p>
    <w:p w14:paraId="1637F946" w14:textId="7C62C0D7" w:rsidR="004B7954" w:rsidRDefault="004B7954" w:rsidP="004B7954">
      <w:pPr>
        <w:pStyle w:val="NoSpacing"/>
      </w:pPr>
    </w:p>
    <w:p w14:paraId="738CE875" w14:textId="7FBECBC2" w:rsidR="004B7954" w:rsidRDefault="004B7954" w:rsidP="004B7954">
      <w:pPr>
        <w:pStyle w:val="NoSpacing"/>
      </w:pPr>
    </w:p>
    <w:p w14:paraId="559BCA09" w14:textId="54A29F26" w:rsidR="004B7954" w:rsidRDefault="004B7954" w:rsidP="004B7954">
      <w:pPr>
        <w:pStyle w:val="NoSpacing"/>
      </w:pPr>
    </w:p>
    <w:p w14:paraId="5650B935" w14:textId="59D73615" w:rsidR="004B7954" w:rsidRDefault="004B7954" w:rsidP="004B7954">
      <w:pPr>
        <w:pStyle w:val="Title"/>
      </w:pPr>
      <w:r>
        <w:lastRenderedPageBreak/>
        <w:t>Lentivirus Vectors</w:t>
      </w:r>
    </w:p>
    <w:p w14:paraId="71DE0064" w14:textId="77777777" w:rsidR="004B7954" w:rsidRDefault="004B7954" w:rsidP="004B7954">
      <w:pPr>
        <w:pStyle w:val="Heading2"/>
      </w:pPr>
      <w:r>
        <w:t>General Description</w:t>
      </w:r>
    </w:p>
    <w:p w14:paraId="6CC1E9DF" w14:textId="71AB5F1F" w:rsidR="004B7954" w:rsidRDefault="006B5378" w:rsidP="006B5378">
      <w:pPr>
        <w:pStyle w:val="NoSpacing"/>
      </w:pPr>
      <w:r>
        <w:t xml:space="preserve">Lentiviruses are enveloped retroviruses that are characterized by a long incubation period, immune evasion, and persistent infections in their natural hosts. They have single stranded and linear RNA that is reverse transcribed to produce DNA upon entry into the host cell. This DNA transcript then integrates into the host’s genome. Lentiviruses </w:t>
      </w:r>
      <w:proofErr w:type="gramStart"/>
      <w:r>
        <w:t>have the ability to</w:t>
      </w:r>
      <w:proofErr w:type="gramEnd"/>
      <w:r>
        <w:t xml:space="preserve"> integrate into the genome of non-dividing cells, a feature that distinguishes lentiviruses from other retroviruses. </w:t>
      </w:r>
      <w:r w:rsidR="00FB4269" w:rsidRPr="00FB4269">
        <w:t>Lentiviral vector systems can include viruses of non-human/non-primate origin (feline immunodeficiency virus, equine infectious anemia virus) as well as simian viruses (simian immunodeficiency virus) and human immunodeficiency viruses (HIV).</w:t>
      </w:r>
    </w:p>
    <w:p w14:paraId="6F0A5686" w14:textId="77777777" w:rsidR="00AB31BA" w:rsidRDefault="00AB31BA" w:rsidP="006B5378">
      <w:pPr>
        <w:pStyle w:val="NoSpacing"/>
      </w:pPr>
    </w:p>
    <w:p w14:paraId="566D1249" w14:textId="78167D29" w:rsidR="00065F4A" w:rsidRDefault="00065F4A" w:rsidP="006B5378">
      <w:pPr>
        <w:pStyle w:val="NoSpacing"/>
      </w:pPr>
      <w:r>
        <w:t xml:space="preserve">There are three generations of lentiviral vectors. </w:t>
      </w:r>
      <w:r w:rsidR="00BF7262">
        <w:t>Third-generation systems are currently the safest to use because the virus production is split across four plasmids.</w:t>
      </w:r>
    </w:p>
    <w:p w14:paraId="6635FF6E" w14:textId="77777777" w:rsidR="004B7954" w:rsidRDefault="004B7954" w:rsidP="004B7954">
      <w:pPr>
        <w:pStyle w:val="NoSpacing"/>
      </w:pPr>
    </w:p>
    <w:p w14:paraId="4094FCB2" w14:textId="77777777" w:rsidR="004B7954" w:rsidRDefault="004B7954" w:rsidP="004B7954">
      <w:pPr>
        <w:pStyle w:val="Heading2"/>
      </w:pPr>
      <w:r>
        <w:t>Potential Health Hazards</w:t>
      </w:r>
    </w:p>
    <w:p w14:paraId="7E600521" w14:textId="3C3AD8DF" w:rsidR="003A544A" w:rsidRDefault="003A544A" w:rsidP="003A544A">
      <w:pPr>
        <w:pStyle w:val="NoSpacing"/>
      </w:pPr>
      <w:r>
        <w:t>Lentiviruses are transmitted via direct exposure to infected bodily fluids, sexual contact, and sharing unclean needles. Lentiviruses persist lifelong – being both a function of their ability to integrate into the host chromosome and ability to evade host immunity. Lentiviruses replicate, mutate, and undergo selection by host immune responses. The clinical manifestations of infection include non-specific symptoms such as lymphadenopathy, anorexia, chronic diarrhea, weight loss, fever, and fatigue.</w:t>
      </w:r>
    </w:p>
    <w:p w14:paraId="389EBBCD" w14:textId="77777777" w:rsidR="003A544A" w:rsidRDefault="003A544A" w:rsidP="003A544A">
      <w:pPr>
        <w:pStyle w:val="NoSpacing"/>
      </w:pPr>
    </w:p>
    <w:p w14:paraId="0EBBC126" w14:textId="0035A549" w:rsidR="004B7954" w:rsidRDefault="003A544A" w:rsidP="003A544A">
      <w:pPr>
        <w:pStyle w:val="NoSpacing"/>
      </w:pPr>
      <w:r>
        <w:t xml:space="preserve">The use of lentiviruses also </w:t>
      </w:r>
      <w:r w:rsidR="00C472AF">
        <w:t>presents</w:t>
      </w:r>
      <w:r>
        <w:t xml:space="preserve"> the risk of insertional mutagenesis, potentially leading to cancer. The nature of the transgene may pose additional risk.</w:t>
      </w:r>
    </w:p>
    <w:p w14:paraId="6BFEB4C4" w14:textId="77777777" w:rsidR="00C15A03" w:rsidRDefault="00C15A03" w:rsidP="003A544A">
      <w:pPr>
        <w:pStyle w:val="NoSpacing"/>
      </w:pPr>
    </w:p>
    <w:p w14:paraId="53ED8A26" w14:textId="77777777" w:rsidR="004B7954" w:rsidRDefault="004B7954" w:rsidP="004B7954">
      <w:pPr>
        <w:pStyle w:val="Heading2"/>
      </w:pPr>
      <w:r>
        <w:t>Biosafety Containment</w:t>
      </w:r>
    </w:p>
    <w:p w14:paraId="6D1BADCF" w14:textId="77777777" w:rsidR="0016288A" w:rsidRDefault="004B7954" w:rsidP="0016288A">
      <w:pPr>
        <w:pStyle w:val="NoSpacing"/>
        <w:numPr>
          <w:ilvl w:val="0"/>
          <w:numId w:val="11"/>
        </w:numPr>
      </w:pPr>
      <w:r>
        <w:t>BSL-2</w:t>
      </w:r>
    </w:p>
    <w:p w14:paraId="199EF94D" w14:textId="5E7592C5" w:rsidR="004B7954" w:rsidRDefault="0016288A" w:rsidP="0016288A">
      <w:pPr>
        <w:pStyle w:val="NoSpacing"/>
        <w:numPr>
          <w:ilvl w:val="0"/>
          <w:numId w:val="11"/>
        </w:numPr>
      </w:pPr>
      <w:r>
        <w:t>Lentivirus must be administered to animals under ABSL-2 conditions. Animals must be housed under ABSL-2 conditions for 72 hours after lentivirus administration, after which animals may be moved to ABSL-1 housing. The IBC may raise containment if deemed necessary</w:t>
      </w:r>
      <w:r w:rsidR="004B7954">
        <w:t xml:space="preserve"> </w:t>
      </w:r>
    </w:p>
    <w:p w14:paraId="02CEC2B6" w14:textId="77777777" w:rsidR="004B7954" w:rsidRPr="00FB73BF" w:rsidRDefault="004B7954" w:rsidP="004B7954">
      <w:pPr>
        <w:pStyle w:val="Heading2"/>
      </w:pPr>
      <w:r>
        <w:t>Decontamination</w:t>
      </w:r>
    </w:p>
    <w:p w14:paraId="51107B62" w14:textId="77777777" w:rsidR="004B7954" w:rsidRDefault="004B7954" w:rsidP="004B7954">
      <w:pPr>
        <w:pStyle w:val="NoSpacing"/>
        <w:numPr>
          <w:ilvl w:val="0"/>
          <w:numId w:val="10"/>
        </w:numPr>
      </w:pPr>
      <w:r>
        <w:t xml:space="preserve">Animal cages/bedding </w:t>
      </w:r>
      <w:r w:rsidRPr="00FB73BF">
        <w:t>from the first cage change and any additional cage changes taking place in the first 72 hours post vector administration must be disposed of as biohazardous waste.</w:t>
      </w:r>
    </w:p>
    <w:p w14:paraId="005A5272" w14:textId="2928A9EC" w:rsidR="004B7954" w:rsidRDefault="001C1207" w:rsidP="004B7954">
      <w:pPr>
        <w:pStyle w:val="NoSpacing"/>
        <w:numPr>
          <w:ilvl w:val="0"/>
          <w:numId w:val="10"/>
        </w:numPr>
      </w:pPr>
      <w:r>
        <w:t>Lentivirus</w:t>
      </w:r>
      <w:r w:rsidR="004B7954">
        <w:t xml:space="preserve"> is susceptible to:</w:t>
      </w:r>
    </w:p>
    <w:p w14:paraId="2419A2DA" w14:textId="5F628ECA" w:rsidR="004B7954" w:rsidRDefault="004B7954" w:rsidP="004B7954">
      <w:pPr>
        <w:pStyle w:val="NoSpacing"/>
        <w:numPr>
          <w:ilvl w:val="1"/>
          <w:numId w:val="10"/>
        </w:numPr>
      </w:pPr>
      <w:r>
        <w:t xml:space="preserve">0.5% sodium hypochlorite (1:10 house hold </w:t>
      </w:r>
      <w:proofErr w:type="spellStart"/>
      <w:proofErr w:type="gramStart"/>
      <w:r>
        <w:t>bleach:water</w:t>
      </w:r>
      <w:proofErr w:type="spellEnd"/>
      <w:proofErr w:type="gramEnd"/>
      <w:r>
        <w:t xml:space="preserve">), 2% glutaraldehyde, </w:t>
      </w:r>
      <w:r w:rsidR="007271CB">
        <w:t>formaldehyde, 70% ethanol</w:t>
      </w:r>
    </w:p>
    <w:p w14:paraId="06894AF5" w14:textId="271D8900" w:rsidR="004B7954" w:rsidRDefault="004B7954" w:rsidP="004B7954">
      <w:pPr>
        <w:pStyle w:val="NoSpacing"/>
        <w:numPr>
          <w:ilvl w:val="1"/>
          <w:numId w:val="10"/>
        </w:numPr>
      </w:pPr>
      <w:r>
        <w:t xml:space="preserve">Autoclave for </w:t>
      </w:r>
      <w:r w:rsidR="00F43A76">
        <w:t>6</w:t>
      </w:r>
      <w:r>
        <w:t>0 minutes at 121°C</w:t>
      </w:r>
    </w:p>
    <w:p w14:paraId="4A719371" w14:textId="77777777" w:rsidR="004B7954" w:rsidRDefault="004B7954" w:rsidP="004B7954">
      <w:pPr>
        <w:pStyle w:val="NoSpacing"/>
        <w:ind w:left="1440"/>
      </w:pPr>
    </w:p>
    <w:p w14:paraId="02323417" w14:textId="77777777" w:rsidR="004B7954" w:rsidRDefault="004B7954" w:rsidP="004B7954">
      <w:pPr>
        <w:pStyle w:val="Heading2"/>
      </w:pPr>
      <w:r>
        <w:t>Additional Information</w:t>
      </w:r>
    </w:p>
    <w:p w14:paraId="7DC05383" w14:textId="331D8298" w:rsidR="004B7954" w:rsidRPr="00E71C6F" w:rsidRDefault="00BF7262" w:rsidP="008B722F">
      <w:pPr>
        <w:pStyle w:val="NoSpacing"/>
        <w:numPr>
          <w:ilvl w:val="0"/>
          <w:numId w:val="15"/>
        </w:numPr>
        <w:rPr>
          <w:rStyle w:val="Hyperlink"/>
          <w:color w:val="auto"/>
          <w:u w:val="none"/>
        </w:rPr>
      </w:pPr>
      <w:hyperlink r:id="rId16" w:history="1">
        <w:r w:rsidRPr="00BF7262">
          <w:rPr>
            <w:rStyle w:val="Hyperlink"/>
          </w:rPr>
          <w:t>NIH Biosafety Considerations for Research with Lentiviral Vectors</w:t>
        </w:r>
      </w:hyperlink>
    </w:p>
    <w:p w14:paraId="795410DE" w14:textId="1379E24B" w:rsidR="00AB31BA" w:rsidRPr="00FB73BF" w:rsidRDefault="00AB31BA" w:rsidP="008B722F">
      <w:pPr>
        <w:pStyle w:val="NoSpacing"/>
        <w:numPr>
          <w:ilvl w:val="0"/>
          <w:numId w:val="15"/>
        </w:numPr>
      </w:pPr>
      <w:hyperlink r:id="rId17" w:history="1">
        <w:proofErr w:type="spellStart"/>
        <w:r w:rsidRPr="00AB31BA">
          <w:rPr>
            <w:rStyle w:val="Hyperlink"/>
          </w:rPr>
          <w:t>Addgene</w:t>
        </w:r>
        <w:proofErr w:type="spellEnd"/>
        <w:r w:rsidRPr="00AB31BA">
          <w:rPr>
            <w:rStyle w:val="Hyperlink"/>
          </w:rPr>
          <w:t xml:space="preserve"> Lentiviral Guide</w:t>
        </w:r>
      </w:hyperlink>
    </w:p>
    <w:sectPr w:rsidR="00AB31BA" w:rsidRPr="00FB73BF" w:rsidSect="00592F0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A0A1" w14:textId="77777777" w:rsidR="00AE71F2" w:rsidRDefault="00AE71F2" w:rsidP="00AE71F2">
      <w:pPr>
        <w:spacing w:after="0" w:line="240" w:lineRule="auto"/>
      </w:pPr>
      <w:r>
        <w:separator/>
      </w:r>
    </w:p>
  </w:endnote>
  <w:endnote w:type="continuationSeparator" w:id="0">
    <w:p w14:paraId="62F92DD2" w14:textId="77777777" w:rsidR="00AE71F2" w:rsidRDefault="00AE71F2" w:rsidP="00AE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EB4ED" w14:textId="77777777" w:rsidR="00AE71F2" w:rsidRDefault="00AE71F2" w:rsidP="00AE71F2">
      <w:pPr>
        <w:spacing w:after="0" w:line="240" w:lineRule="auto"/>
      </w:pPr>
      <w:r>
        <w:separator/>
      </w:r>
    </w:p>
  </w:footnote>
  <w:footnote w:type="continuationSeparator" w:id="0">
    <w:p w14:paraId="799141E9" w14:textId="77777777" w:rsidR="00AE71F2" w:rsidRDefault="00AE71F2" w:rsidP="00AE7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3B1"/>
    <w:multiLevelType w:val="hybridMultilevel"/>
    <w:tmpl w:val="BB0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5C47"/>
    <w:multiLevelType w:val="hybridMultilevel"/>
    <w:tmpl w:val="B424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719F5"/>
    <w:multiLevelType w:val="hybridMultilevel"/>
    <w:tmpl w:val="F68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106"/>
    <w:multiLevelType w:val="hybridMultilevel"/>
    <w:tmpl w:val="7D8CC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B5C75"/>
    <w:multiLevelType w:val="hybridMultilevel"/>
    <w:tmpl w:val="6DB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24857"/>
    <w:multiLevelType w:val="hybridMultilevel"/>
    <w:tmpl w:val="D98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E0701"/>
    <w:multiLevelType w:val="hybridMultilevel"/>
    <w:tmpl w:val="A9C4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F3F4D"/>
    <w:multiLevelType w:val="hybridMultilevel"/>
    <w:tmpl w:val="3634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231CD"/>
    <w:multiLevelType w:val="hybridMultilevel"/>
    <w:tmpl w:val="62F0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4B68"/>
    <w:multiLevelType w:val="hybridMultilevel"/>
    <w:tmpl w:val="04962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E0910"/>
    <w:multiLevelType w:val="hybridMultilevel"/>
    <w:tmpl w:val="9B48B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6722B"/>
    <w:multiLevelType w:val="hybridMultilevel"/>
    <w:tmpl w:val="3DE2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B3EC5"/>
    <w:multiLevelType w:val="hybridMultilevel"/>
    <w:tmpl w:val="6570E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FB729A"/>
    <w:multiLevelType w:val="hybridMultilevel"/>
    <w:tmpl w:val="2E7E1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5C56BD"/>
    <w:multiLevelType w:val="hybridMultilevel"/>
    <w:tmpl w:val="C8D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816515">
    <w:abstractNumId w:val="11"/>
  </w:num>
  <w:num w:numId="2" w16cid:durableId="197353456">
    <w:abstractNumId w:val="12"/>
  </w:num>
  <w:num w:numId="3" w16cid:durableId="1167095649">
    <w:abstractNumId w:val="10"/>
  </w:num>
  <w:num w:numId="4" w16cid:durableId="1796681441">
    <w:abstractNumId w:val="9"/>
  </w:num>
  <w:num w:numId="5" w16cid:durableId="827786672">
    <w:abstractNumId w:val="13"/>
  </w:num>
  <w:num w:numId="6" w16cid:durableId="2136101931">
    <w:abstractNumId w:val="3"/>
  </w:num>
  <w:num w:numId="7" w16cid:durableId="520120685">
    <w:abstractNumId w:val="4"/>
  </w:num>
  <w:num w:numId="8" w16cid:durableId="933509777">
    <w:abstractNumId w:val="2"/>
  </w:num>
  <w:num w:numId="9" w16cid:durableId="1978679081">
    <w:abstractNumId w:val="5"/>
  </w:num>
  <w:num w:numId="10" w16cid:durableId="1836067100">
    <w:abstractNumId w:val="8"/>
  </w:num>
  <w:num w:numId="11" w16cid:durableId="1374186179">
    <w:abstractNumId w:val="1"/>
  </w:num>
  <w:num w:numId="12" w16cid:durableId="58868834">
    <w:abstractNumId w:val="0"/>
  </w:num>
  <w:num w:numId="13" w16cid:durableId="1435129561">
    <w:abstractNumId w:val="14"/>
  </w:num>
  <w:num w:numId="14" w16cid:durableId="697505046">
    <w:abstractNumId w:val="6"/>
  </w:num>
  <w:num w:numId="15" w16cid:durableId="1415475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1"/>
    <w:rsid w:val="00003ED4"/>
    <w:rsid w:val="00005DA3"/>
    <w:rsid w:val="0000630F"/>
    <w:rsid w:val="00027C42"/>
    <w:rsid w:val="00033E0B"/>
    <w:rsid w:val="00034E5C"/>
    <w:rsid w:val="00063ED5"/>
    <w:rsid w:val="00065F4A"/>
    <w:rsid w:val="00073EF5"/>
    <w:rsid w:val="0008061A"/>
    <w:rsid w:val="00085D63"/>
    <w:rsid w:val="000A1087"/>
    <w:rsid w:val="000B6B6C"/>
    <w:rsid w:val="000C24D6"/>
    <w:rsid w:val="000E5755"/>
    <w:rsid w:val="000F0D17"/>
    <w:rsid w:val="001037BC"/>
    <w:rsid w:val="00115F0E"/>
    <w:rsid w:val="00131C9E"/>
    <w:rsid w:val="0014634A"/>
    <w:rsid w:val="0016288A"/>
    <w:rsid w:val="0016293F"/>
    <w:rsid w:val="00164524"/>
    <w:rsid w:val="00185F04"/>
    <w:rsid w:val="001A3A7C"/>
    <w:rsid w:val="001C1207"/>
    <w:rsid w:val="001C204C"/>
    <w:rsid w:val="001D0A8A"/>
    <w:rsid w:val="002035B1"/>
    <w:rsid w:val="00203B94"/>
    <w:rsid w:val="0020424B"/>
    <w:rsid w:val="00221945"/>
    <w:rsid w:val="00234B94"/>
    <w:rsid w:val="00235CA2"/>
    <w:rsid w:val="002405D1"/>
    <w:rsid w:val="002408CC"/>
    <w:rsid w:val="002440B6"/>
    <w:rsid w:val="00260B96"/>
    <w:rsid w:val="002614A6"/>
    <w:rsid w:val="0027629A"/>
    <w:rsid w:val="002A177D"/>
    <w:rsid w:val="002B11BA"/>
    <w:rsid w:val="002B22FA"/>
    <w:rsid w:val="002C3882"/>
    <w:rsid w:val="002D6066"/>
    <w:rsid w:val="002E7B37"/>
    <w:rsid w:val="00307664"/>
    <w:rsid w:val="00315A8C"/>
    <w:rsid w:val="00316B0B"/>
    <w:rsid w:val="0033103B"/>
    <w:rsid w:val="003464AB"/>
    <w:rsid w:val="00351AC3"/>
    <w:rsid w:val="003556A1"/>
    <w:rsid w:val="0036635C"/>
    <w:rsid w:val="00371BDD"/>
    <w:rsid w:val="00372E6B"/>
    <w:rsid w:val="003A2ED8"/>
    <w:rsid w:val="003A544A"/>
    <w:rsid w:val="003B06CF"/>
    <w:rsid w:val="003B4422"/>
    <w:rsid w:val="003B7E94"/>
    <w:rsid w:val="003C0E39"/>
    <w:rsid w:val="003C7597"/>
    <w:rsid w:val="003D0F1D"/>
    <w:rsid w:val="003D1A6F"/>
    <w:rsid w:val="003D23B1"/>
    <w:rsid w:val="003E3FA6"/>
    <w:rsid w:val="003F621D"/>
    <w:rsid w:val="003F6C7C"/>
    <w:rsid w:val="00400D6E"/>
    <w:rsid w:val="00425551"/>
    <w:rsid w:val="00432B02"/>
    <w:rsid w:val="00470171"/>
    <w:rsid w:val="00485084"/>
    <w:rsid w:val="00493A61"/>
    <w:rsid w:val="0049472C"/>
    <w:rsid w:val="004A0030"/>
    <w:rsid w:val="004A2893"/>
    <w:rsid w:val="004B4128"/>
    <w:rsid w:val="004B7954"/>
    <w:rsid w:val="004F1111"/>
    <w:rsid w:val="004F3E2D"/>
    <w:rsid w:val="004F5BDC"/>
    <w:rsid w:val="004F7E07"/>
    <w:rsid w:val="00533FCA"/>
    <w:rsid w:val="00570CF6"/>
    <w:rsid w:val="00587C00"/>
    <w:rsid w:val="00592F01"/>
    <w:rsid w:val="00595FBA"/>
    <w:rsid w:val="00596D55"/>
    <w:rsid w:val="005A3E15"/>
    <w:rsid w:val="005C01AF"/>
    <w:rsid w:val="005E3194"/>
    <w:rsid w:val="005E7036"/>
    <w:rsid w:val="005E77DC"/>
    <w:rsid w:val="00601317"/>
    <w:rsid w:val="006070D7"/>
    <w:rsid w:val="00607F8C"/>
    <w:rsid w:val="00615A97"/>
    <w:rsid w:val="00620F9F"/>
    <w:rsid w:val="006307F8"/>
    <w:rsid w:val="00636D04"/>
    <w:rsid w:val="00653017"/>
    <w:rsid w:val="00672337"/>
    <w:rsid w:val="0067403D"/>
    <w:rsid w:val="006806E8"/>
    <w:rsid w:val="006B23C4"/>
    <w:rsid w:val="006B5378"/>
    <w:rsid w:val="006B5F89"/>
    <w:rsid w:val="006E381F"/>
    <w:rsid w:val="006F194B"/>
    <w:rsid w:val="006F38B9"/>
    <w:rsid w:val="007157EF"/>
    <w:rsid w:val="007271CB"/>
    <w:rsid w:val="00731779"/>
    <w:rsid w:val="00736ABC"/>
    <w:rsid w:val="007B3CA6"/>
    <w:rsid w:val="007C698A"/>
    <w:rsid w:val="007E0FAE"/>
    <w:rsid w:val="007E7D25"/>
    <w:rsid w:val="007F17B8"/>
    <w:rsid w:val="00812869"/>
    <w:rsid w:val="00821DAE"/>
    <w:rsid w:val="00823640"/>
    <w:rsid w:val="00840747"/>
    <w:rsid w:val="008622EC"/>
    <w:rsid w:val="00863FE6"/>
    <w:rsid w:val="00875445"/>
    <w:rsid w:val="0088657C"/>
    <w:rsid w:val="008936F3"/>
    <w:rsid w:val="0089533B"/>
    <w:rsid w:val="0089664C"/>
    <w:rsid w:val="008A6142"/>
    <w:rsid w:val="008B3780"/>
    <w:rsid w:val="008B4368"/>
    <w:rsid w:val="008B722F"/>
    <w:rsid w:val="008D780B"/>
    <w:rsid w:val="008E19D9"/>
    <w:rsid w:val="00902612"/>
    <w:rsid w:val="009437EC"/>
    <w:rsid w:val="00951329"/>
    <w:rsid w:val="00952E85"/>
    <w:rsid w:val="0096717D"/>
    <w:rsid w:val="00973CA1"/>
    <w:rsid w:val="0099436D"/>
    <w:rsid w:val="009A02B7"/>
    <w:rsid w:val="009A0F7B"/>
    <w:rsid w:val="009B6748"/>
    <w:rsid w:val="009D6FB9"/>
    <w:rsid w:val="009F6ADE"/>
    <w:rsid w:val="009F7256"/>
    <w:rsid w:val="00A032D3"/>
    <w:rsid w:val="00A076F7"/>
    <w:rsid w:val="00A24CF6"/>
    <w:rsid w:val="00A268E5"/>
    <w:rsid w:val="00A33FA7"/>
    <w:rsid w:val="00A364AB"/>
    <w:rsid w:val="00A42CCC"/>
    <w:rsid w:val="00A60E76"/>
    <w:rsid w:val="00A621EE"/>
    <w:rsid w:val="00A76696"/>
    <w:rsid w:val="00A90907"/>
    <w:rsid w:val="00AA5A24"/>
    <w:rsid w:val="00AA76F8"/>
    <w:rsid w:val="00AB1C7F"/>
    <w:rsid w:val="00AB3187"/>
    <w:rsid w:val="00AB31BA"/>
    <w:rsid w:val="00AB4416"/>
    <w:rsid w:val="00AD06FA"/>
    <w:rsid w:val="00AE2061"/>
    <w:rsid w:val="00AE599C"/>
    <w:rsid w:val="00AE71F2"/>
    <w:rsid w:val="00AE762F"/>
    <w:rsid w:val="00AF6953"/>
    <w:rsid w:val="00B12F48"/>
    <w:rsid w:val="00B27F62"/>
    <w:rsid w:val="00B4196E"/>
    <w:rsid w:val="00B46975"/>
    <w:rsid w:val="00B546B1"/>
    <w:rsid w:val="00B61A27"/>
    <w:rsid w:val="00B7030F"/>
    <w:rsid w:val="00B93CAA"/>
    <w:rsid w:val="00BA1DFC"/>
    <w:rsid w:val="00BA67A1"/>
    <w:rsid w:val="00BC572A"/>
    <w:rsid w:val="00BC688C"/>
    <w:rsid w:val="00BF296E"/>
    <w:rsid w:val="00BF3F91"/>
    <w:rsid w:val="00BF4A70"/>
    <w:rsid w:val="00BF7262"/>
    <w:rsid w:val="00C00923"/>
    <w:rsid w:val="00C070A6"/>
    <w:rsid w:val="00C11D47"/>
    <w:rsid w:val="00C15A03"/>
    <w:rsid w:val="00C16A6E"/>
    <w:rsid w:val="00C20F35"/>
    <w:rsid w:val="00C47162"/>
    <w:rsid w:val="00C472AF"/>
    <w:rsid w:val="00C55BC0"/>
    <w:rsid w:val="00C57CD8"/>
    <w:rsid w:val="00C80CD2"/>
    <w:rsid w:val="00C871D1"/>
    <w:rsid w:val="00C95F8D"/>
    <w:rsid w:val="00CA6F5E"/>
    <w:rsid w:val="00CB038F"/>
    <w:rsid w:val="00CD15CE"/>
    <w:rsid w:val="00CD1A94"/>
    <w:rsid w:val="00CE2AD9"/>
    <w:rsid w:val="00CF0A8A"/>
    <w:rsid w:val="00D01DB9"/>
    <w:rsid w:val="00D10E83"/>
    <w:rsid w:val="00D34323"/>
    <w:rsid w:val="00D36BCC"/>
    <w:rsid w:val="00D4611F"/>
    <w:rsid w:val="00D60F10"/>
    <w:rsid w:val="00D64DFF"/>
    <w:rsid w:val="00D7508B"/>
    <w:rsid w:val="00D7797E"/>
    <w:rsid w:val="00D83836"/>
    <w:rsid w:val="00D87B18"/>
    <w:rsid w:val="00D87E87"/>
    <w:rsid w:val="00DA5720"/>
    <w:rsid w:val="00DD4B59"/>
    <w:rsid w:val="00E07458"/>
    <w:rsid w:val="00E20156"/>
    <w:rsid w:val="00E22699"/>
    <w:rsid w:val="00E37A60"/>
    <w:rsid w:val="00E70BF6"/>
    <w:rsid w:val="00E71C6F"/>
    <w:rsid w:val="00E85BC6"/>
    <w:rsid w:val="00EA2DFD"/>
    <w:rsid w:val="00EB05C0"/>
    <w:rsid w:val="00ED61A7"/>
    <w:rsid w:val="00ED7AAD"/>
    <w:rsid w:val="00EE3CA1"/>
    <w:rsid w:val="00EF252D"/>
    <w:rsid w:val="00F17B6D"/>
    <w:rsid w:val="00F2115A"/>
    <w:rsid w:val="00F24B4B"/>
    <w:rsid w:val="00F43A76"/>
    <w:rsid w:val="00F63B56"/>
    <w:rsid w:val="00FB4269"/>
    <w:rsid w:val="00FB73BF"/>
    <w:rsid w:val="00FD7366"/>
    <w:rsid w:val="00FE08F8"/>
    <w:rsid w:val="00FF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CB9814"/>
  <w15:chartTrackingRefBased/>
  <w15:docId w15:val="{C3D077FC-4005-43E2-A5FC-2A8BE4BB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D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A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B6C"/>
    <w:pPr>
      <w:ind w:left="720"/>
      <w:contextualSpacing/>
    </w:pPr>
  </w:style>
  <w:style w:type="character" w:styleId="Hyperlink">
    <w:name w:val="Hyperlink"/>
    <w:basedOn w:val="DefaultParagraphFont"/>
    <w:uiPriority w:val="99"/>
    <w:unhideWhenUsed/>
    <w:rsid w:val="00D01DB9"/>
    <w:rPr>
      <w:color w:val="0563C1" w:themeColor="hyperlink"/>
      <w:u w:val="single"/>
    </w:rPr>
  </w:style>
  <w:style w:type="paragraph" w:styleId="BalloonText">
    <w:name w:val="Balloon Text"/>
    <w:basedOn w:val="Normal"/>
    <w:link w:val="BalloonTextChar"/>
    <w:uiPriority w:val="99"/>
    <w:semiHidden/>
    <w:unhideWhenUsed/>
    <w:rsid w:val="000F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17"/>
    <w:rPr>
      <w:rFonts w:ascii="Segoe UI" w:hAnsi="Segoe UI" w:cs="Segoe UI"/>
      <w:sz w:val="18"/>
      <w:szCs w:val="18"/>
    </w:rPr>
  </w:style>
  <w:style w:type="character" w:styleId="FollowedHyperlink">
    <w:name w:val="FollowedHyperlink"/>
    <w:basedOn w:val="DefaultParagraphFont"/>
    <w:uiPriority w:val="99"/>
    <w:semiHidden/>
    <w:unhideWhenUsed/>
    <w:rsid w:val="002A177D"/>
    <w:rPr>
      <w:color w:val="954F72" w:themeColor="followedHyperlink"/>
      <w:u w:val="single"/>
    </w:rPr>
  </w:style>
  <w:style w:type="character" w:styleId="PlaceholderText">
    <w:name w:val="Placeholder Text"/>
    <w:basedOn w:val="DefaultParagraphFont"/>
    <w:uiPriority w:val="99"/>
    <w:semiHidden/>
    <w:rsid w:val="001A3A7C"/>
    <w:rPr>
      <w:color w:val="808080"/>
    </w:rPr>
  </w:style>
  <w:style w:type="character" w:styleId="UnresolvedMention">
    <w:name w:val="Unresolved Mention"/>
    <w:basedOn w:val="DefaultParagraphFont"/>
    <w:uiPriority w:val="99"/>
    <w:semiHidden/>
    <w:unhideWhenUsed/>
    <w:rsid w:val="00596D55"/>
    <w:rPr>
      <w:color w:val="808080"/>
      <w:shd w:val="clear" w:color="auto" w:fill="E6E6E6"/>
    </w:rPr>
  </w:style>
  <w:style w:type="paragraph" w:styleId="Title">
    <w:name w:val="Title"/>
    <w:basedOn w:val="Normal"/>
    <w:next w:val="Normal"/>
    <w:link w:val="TitleChar"/>
    <w:uiPriority w:val="10"/>
    <w:qFormat/>
    <w:rsid w:val="00085D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5D6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F296E"/>
    <w:rPr>
      <w:b/>
      <w:bCs/>
    </w:rPr>
  </w:style>
  <w:style w:type="paragraph" w:styleId="NoSpacing">
    <w:name w:val="No Spacing"/>
    <w:uiPriority w:val="1"/>
    <w:qFormat/>
    <w:rsid w:val="00AE762F"/>
    <w:pPr>
      <w:spacing w:after="0" w:line="240" w:lineRule="auto"/>
    </w:pPr>
  </w:style>
  <w:style w:type="paragraph" w:styleId="Header">
    <w:name w:val="header"/>
    <w:basedOn w:val="Normal"/>
    <w:link w:val="HeaderChar"/>
    <w:uiPriority w:val="99"/>
    <w:unhideWhenUsed/>
    <w:rsid w:val="00AE7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F2"/>
  </w:style>
  <w:style w:type="paragraph" w:styleId="Footer">
    <w:name w:val="footer"/>
    <w:basedOn w:val="Normal"/>
    <w:link w:val="FooterChar"/>
    <w:uiPriority w:val="99"/>
    <w:unhideWhenUsed/>
    <w:rsid w:val="00AE7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F2"/>
  </w:style>
  <w:style w:type="table" w:styleId="TableGrid">
    <w:name w:val="Table Grid"/>
    <w:basedOn w:val="TableNormal"/>
    <w:uiPriority w:val="59"/>
    <w:rsid w:val="006F194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194B"/>
    <w:pPr>
      <w:widowControl w:val="0"/>
      <w:spacing w:after="0" w:line="240" w:lineRule="auto"/>
    </w:pPr>
  </w:style>
  <w:style w:type="character" w:customStyle="1" w:styleId="Heading2Char">
    <w:name w:val="Heading 2 Char"/>
    <w:basedOn w:val="DefaultParagraphFont"/>
    <w:link w:val="Heading2"/>
    <w:uiPriority w:val="9"/>
    <w:rsid w:val="001D0A8A"/>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6F3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045100">
      <w:bodyDiv w:val="1"/>
      <w:marLeft w:val="0"/>
      <w:marRight w:val="0"/>
      <w:marTop w:val="0"/>
      <w:marBottom w:val="0"/>
      <w:divBdr>
        <w:top w:val="none" w:sz="0" w:space="0" w:color="auto"/>
        <w:left w:val="none" w:sz="0" w:space="0" w:color="auto"/>
        <w:bottom w:val="none" w:sz="0" w:space="0" w:color="auto"/>
        <w:right w:val="none" w:sz="0" w:space="0" w:color="auto"/>
      </w:divBdr>
    </w:div>
    <w:div w:id="1679500892">
      <w:bodyDiv w:val="1"/>
      <w:marLeft w:val="0"/>
      <w:marRight w:val="0"/>
      <w:marTop w:val="0"/>
      <w:marBottom w:val="0"/>
      <w:divBdr>
        <w:top w:val="none" w:sz="0" w:space="0" w:color="auto"/>
        <w:left w:val="none" w:sz="0" w:space="0" w:color="auto"/>
        <w:bottom w:val="none" w:sz="0" w:space="0" w:color="auto"/>
        <w:right w:val="none" w:sz="0" w:space="0" w:color="auto"/>
      </w:divBdr>
    </w:div>
    <w:div w:id="19926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ontana.edu/ric/ibc/biosafet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ntana.edu/orc/biosafety/" TargetMode="External"/><Relationship Id="rId17" Type="http://schemas.openxmlformats.org/officeDocument/2006/relationships/hyperlink" Target="https://www.addgene.org/guides/lentivirus/" TargetMode="External"/><Relationship Id="rId2" Type="http://schemas.openxmlformats.org/officeDocument/2006/relationships/styles" Target="styles.xml"/><Relationship Id="rId16" Type="http://schemas.openxmlformats.org/officeDocument/2006/relationships/hyperlink" Target="https://osp.od.nih.gov/wp-content/uploads/Lenti_Containment_Guid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p.od.nih.gov/policies/novel-and-exceptional-technology-and-research-advisory-committee-nextrac/" TargetMode="External"/><Relationship Id="rId5" Type="http://schemas.openxmlformats.org/officeDocument/2006/relationships/footnotes" Target="footnotes.xml"/><Relationship Id="rId15" Type="http://schemas.openxmlformats.org/officeDocument/2006/relationships/hyperlink" Target="https://www.montana.edu/orc/biosafety/psds/adenovirus.html" TargetMode="External"/><Relationship Id="rId10" Type="http://schemas.openxmlformats.org/officeDocument/2006/relationships/hyperlink" Target="https://osp.od.nih.gov/wp-content/uploads/NIH_Guidelin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ontana.edu/orc/ibc/biosafe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1283</Words>
  <Characters>7689</Characters>
  <Application>Microsoft Office Word</Application>
  <DocSecurity>0</DocSecurity>
  <Lines>142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Lubick, Kirk</dc:creator>
  <cp:keywords/>
  <dc:description/>
  <cp:lastModifiedBy>Soll, Nicole</cp:lastModifiedBy>
  <cp:revision>2</cp:revision>
  <cp:lastPrinted>2015-03-23T15:56:00Z</cp:lastPrinted>
  <dcterms:created xsi:type="dcterms:W3CDTF">2024-12-02T23:20:00Z</dcterms:created>
  <dcterms:modified xsi:type="dcterms:W3CDTF">2024-12-02T23:20:00Z</dcterms:modified>
</cp:coreProperties>
</file>